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ubtitle"/>
        <w:jc w:val="center"/>
        <w:rPr/>
      </w:pPr>
      <w:r>
        <w:rPr/>
        <w:t>М.О. Доброхвалов. А.Ю. Филатов, Е.А. Чегодаева</w:t>
      </w:r>
    </w:p>
    <w:p>
      <w:pPr>
        <w:pStyle w:val="normal1"/>
        <w:spacing w:lineRule="auto" w:line="240" w:before="240" w:after="160"/>
        <w:jc w:val="center"/>
        <w:rPr>
          <w:rFonts w:ascii="Times New Roman" w:hAnsi="Times New Roman" w:eastAsia="Times New Roman" w:cs="Times New Roman"/>
          <w:b/>
          <w:sz w:val="28"/>
          <w:szCs w:val="28"/>
        </w:rPr>
      </w:pPr>
      <w:r>
        <w:rPr>
          <w:rFonts w:eastAsia="Times New Roman" w:cs="Times New Roman" w:ascii="Times New Roman" w:hAnsi="Times New Roman"/>
          <w:b/>
          <w:color w:val="000000"/>
          <w:sz w:val="28"/>
          <w:szCs w:val="28"/>
        </w:rPr>
        <w:t>НОВАЯ МЕТРИКА ВОСПРОИЗВОДИМОСТИ ДЛЯ СРАВНЕНИЯ КЛАССИФИКАТОРОВ ВРЕМЕННЫХ РЯДОВ</w:t>
      </w:r>
    </w:p>
    <w:p>
      <w:pPr>
        <w:pStyle w:val="normal1"/>
        <w:spacing w:lineRule="auto" w:line="240" w:before="240" w:after="0"/>
        <w:ind w:firstLine="709"/>
        <w:jc w:val="both"/>
        <w:rPr>
          <w:rFonts w:ascii="Times New Roman" w:hAnsi="Times New Roman" w:eastAsia="Times New Roman" w:cs="Times New Roman"/>
          <w:i/>
          <w:i/>
          <w:sz w:val="24"/>
          <w:szCs w:val="24"/>
        </w:rPr>
      </w:pPr>
      <w:r>
        <w:rPr>
          <w:rFonts w:eastAsia="Times New Roman" w:cs="Times New Roman" w:ascii="Times New Roman" w:hAnsi="Times New Roman"/>
          <w:i/>
          <w:color w:val="000000"/>
          <w:sz w:val="24"/>
          <w:szCs w:val="24"/>
        </w:rPr>
        <w:t>Цель исследования заключалась в оценке влияния выбора случайного сида на результаты классификации временных рядов сверточными нейросетями и в разработке корректного способа сравнения моделей. Задачи включали измерение разброса метрик при множественных перезапусках, проверку нормальности распределений, введение метаметрики воспроизводимости RM и подбор ее параметра λ, а также проверку переносимости подхода на альтернативных архитектурах. Проведены эксперименты с двумя архитектурами (FCN, ResNet) сверточных нейронных сетей на семи открытых наборах данных. Для каждой пары модель–датасет выполнено по 55 независимых запусков с фиксацией источников случайности и идентичными настройками обучения в PyTorch. Статистический анализ включал критерии Шапиро Уилка и Андерсона Дарлинга. Показано, что распределения аккуратности чаще всего не соответствуют нормальному закону, поэтому интервальные оценки, основанные на нормальности, некорректны. Варьирование сида приводит к различиям аккуратности до 12 процентных пунктов, причем величина разброса зависит от датасета и архитектуры. Предложенная метрика воспроизводимости (RM), штрафующая за дисперсию, при малом числе запусков на различных инициализирующих значениях приближает нижнюю наблюдаемую границу, при большом числе стремится к среднему. Предложенная RM позволяет сравнивать модели с учетом случайных “удачных” и “неудачных” инициализаций и ранжировать модели по устойчивости, задает стандарт отчетности, повышающий воспроизводимость экспериментов и надежность выводов. Эмпирическая проверка на архитектуре DenseNet подтвердила, что RM адекватно реагирует как на стабильные, так и на нестабильные наборы. Методика легко переносится на новые датасеты и архитектуры.</w:t>
      </w:r>
    </w:p>
    <w:p>
      <w:pPr>
        <w:pStyle w:val="normal1"/>
        <w:spacing w:lineRule="auto" w:line="240" w:before="0" w:after="0"/>
        <w:ind w:firstLine="709"/>
        <w:jc w:val="both"/>
        <w:rPr>
          <w:rFonts w:ascii="Times New Roman" w:hAnsi="Times New Roman" w:eastAsia="Times New Roman" w:cs="Times New Roman"/>
          <w:i/>
          <w:i/>
          <w:color w:val="000000"/>
          <w:sz w:val="24"/>
          <w:szCs w:val="24"/>
        </w:rPr>
      </w:pPr>
      <w:r>
        <w:rPr>
          <w:rFonts w:eastAsia="Times New Roman" w:cs="Times New Roman" w:ascii="Times New Roman" w:hAnsi="Times New Roman"/>
          <w:i/>
          <w:color w:val="000000"/>
          <w:sz w:val="24"/>
          <w:szCs w:val="24"/>
        </w:rPr>
        <w:t>Классификация временных рядов; сверточные нейронные сети; случайный сид; чувствительность к инициализации; воспроизводимость экспериментов.</w:t>
      </w:r>
    </w:p>
    <w:p>
      <w:pPr>
        <w:pStyle w:val="normal1"/>
        <w:spacing w:lineRule="auto"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1"/>
        <w:keepNext w:val="false"/>
        <w:keepLines w:val="false"/>
        <w:pageBreakBefore w:val="false"/>
        <w:widowControl/>
        <w:pBdr/>
        <w:shd w:val="clear" w:fill="auto"/>
        <w:spacing w:lineRule="auto" w:line="240" w:before="0" w:after="0"/>
        <w:ind w:hanging="0" w:left="0" w:right="0"/>
        <w:jc w:val="center"/>
        <w:rPr>
          <w:rFonts w:ascii="Times New Roman" w:hAnsi="Times New Roman" w:eastAsia="Times New Roman" w:cs="Times New Roman"/>
          <w:b/>
          <w:i w:val="false"/>
          <w:i w:val="false"/>
          <w:caps w:val="false"/>
          <w:smallCaps w:val="false"/>
          <w:strike w:val="false"/>
          <w:dstrike w:val="false"/>
          <w:color w:val="000000"/>
          <w:position w:val="0"/>
          <w:sz w:val="24"/>
          <w:sz w:val="24"/>
          <w:szCs w:val="24"/>
          <w:u w:val="none"/>
          <w:shd w:fill="auto" w:val="clear"/>
          <w:vertAlign w:val="baseline"/>
        </w:rPr>
      </w:pPr>
      <w:bookmarkStart w:id="0" w:name="_ihm6mh67626w"/>
      <w:bookmarkEnd w:id="0"/>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M.O. Dobrokhvalov, A.Yu. Filatov, E.A. Chegodaeva</w:t>
      </w:r>
    </w:p>
    <w:p>
      <w:pPr>
        <w:pStyle w:val="normal1"/>
        <w:spacing w:lineRule="auto" w:line="240" w:before="240" w:after="120"/>
        <w:ind w:firstLine="709"/>
        <w:jc w:val="center"/>
        <w:rPr>
          <w:rFonts w:ascii="Times New Roman" w:hAnsi="Times New Roman" w:eastAsia="Times New Roman" w:cs="Times New Roman"/>
          <w:b/>
          <w:color w:val="000000"/>
          <w:sz w:val="28"/>
          <w:szCs w:val="28"/>
        </w:rPr>
      </w:pPr>
      <w:r>
        <w:rPr>
          <w:rFonts w:eastAsia="Times New Roman" w:cs="Times New Roman" w:ascii="Times New Roman" w:hAnsi="Times New Roman"/>
          <w:b/>
          <w:color w:val="000000"/>
          <w:sz w:val="28"/>
          <w:szCs w:val="28"/>
        </w:rPr>
        <w:t>A NEW REPRODUCIBILITY METRIC FOR COMPARING TIME SERIES CLASSIFIERS</w:t>
      </w:r>
    </w:p>
    <w:p>
      <w:pPr>
        <w:pStyle w:val="normal1"/>
        <w:spacing w:lineRule="auto" w:line="240" w:before="240" w:after="0"/>
        <w:ind w:firstLine="709"/>
        <w:jc w:val="both"/>
        <w:rPr>
          <w:rFonts w:ascii="Times New Roman" w:hAnsi="Times New Roman" w:eastAsia="Times New Roman" w:cs="Times New Roman"/>
          <w:i/>
          <w:i/>
          <w:sz w:val="24"/>
          <w:szCs w:val="24"/>
        </w:rPr>
      </w:pPr>
      <w:r>
        <w:rPr>
          <w:rFonts w:eastAsia="Times New Roman" w:cs="Times New Roman" w:ascii="Times New Roman" w:hAnsi="Times New Roman"/>
          <w:i/>
          <w:color w:val="000000"/>
          <w:sz w:val="24"/>
          <w:szCs w:val="24"/>
        </w:rPr>
        <w:t>Random seed effects on convolutional time series classifiers were quantified, and a principled comparison criterion was established. Two 1D architectures, FCN and ResNet, were trained on seven public datasets, with 55 independent runs for each combination of model and dataset under controlled pseudorandomness in Python, NumPy, and PyTorch. Deterministic backends were enabled, and identical hyperparameters were used across runs. Normality of seed-wise accuracy distributions was assessed with the Shapiro–Wilk and Anderson–Darling tests. Accuracy variability attributable to seed choice reached up to 12 percentage points in some settings, with magnitude dependent on dataset and architecture. The distributions were found to be non-normal in most cases, indicating that confidence intervals predicated on normality are unreliable. To enable fair comparison across runs, a reproducibility meta-metric, RM, was introduced that subtracts a dispersion penalty from the mean and depends on the number of runs and a tunable coefficient λ. RM was shown to lie between the empirical minimum and the mean, to approach the lower bound for small sample sizes, and to converge toward the mean as the number of runs increases. Portability of the approach was examined on an additional architecture, DenseNet, confirming expected behavior. Practical value is provided by RM metric rankings reflect both performance and stability. In this way, reproducibility and the credibility of empirical conclusions are strengthened.</w:t>
      </w:r>
    </w:p>
    <w:p>
      <w:pPr>
        <w:pStyle w:val="normal1"/>
        <w:spacing w:lineRule="auto" w:line="240"/>
        <w:ind w:firstLine="708"/>
        <w:jc w:val="both"/>
        <w:rPr>
          <w:rFonts w:ascii="Times New Roman" w:hAnsi="Times New Roman" w:eastAsia="Times New Roman" w:cs="Times New Roman"/>
          <w:i/>
          <w:i/>
          <w:sz w:val="24"/>
          <w:szCs w:val="24"/>
        </w:rPr>
      </w:pPr>
      <w:r>
        <w:rPr>
          <w:rFonts w:eastAsia="Times New Roman" w:cs="Times New Roman" w:ascii="Times New Roman" w:hAnsi="Times New Roman"/>
          <w:i/>
          <w:color w:val="000000"/>
          <w:sz w:val="24"/>
          <w:szCs w:val="24"/>
        </w:rPr>
        <w:t>Time series classification; convolutional neural networks; random seed; initialization sensitivity; experimental reproducibility;</w:t>
      </w:r>
    </w:p>
    <w:p>
      <w:pPr>
        <w:pStyle w:val="normal1"/>
        <w:spacing w:lineRule="auto" w:line="240" w:before="0" w:after="0"/>
        <w:ind w:firstLine="709"/>
        <w:jc w:val="both"/>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Введение</w:t>
      </w:r>
      <w:r>
        <w:rPr>
          <w:rFonts w:eastAsia="Times New Roman" w:cs="Times New Roman" w:ascii="Times New Roman" w:hAnsi="Times New Roman"/>
          <w:b/>
          <w:sz w:val="24"/>
          <w:szCs w:val="24"/>
        </w:rPr>
        <w:t xml:space="preserve">. </w:t>
      </w:r>
      <w:r>
        <w:rPr>
          <w:rFonts w:eastAsia="Times New Roman" w:cs="Times New Roman" w:ascii="Times New Roman" w:hAnsi="Times New Roman"/>
          <w:color w:val="000000"/>
          <w:sz w:val="24"/>
          <w:szCs w:val="24"/>
        </w:rPr>
        <w:t>Машинное обучение продолжает активно развиваться, в частности, нейронные сети. До начала процесса обучения веса сети инициализируются определенным образом. Инициализация весов сверточной сети влияет на конечное состояния, к которому сходится модель. Существуют различные методы инициализации весов [1]</w:t>
      </w:r>
      <w:r>
        <w:rPr>
          <w:rFonts w:eastAsia="Times New Roman" w:cs="Times New Roman" w:ascii="Times New Roman" w:hAnsi="Times New Roman"/>
          <w:color w:val="262626"/>
          <w:sz w:val="24"/>
          <w:szCs w:val="24"/>
        </w:rPr>
        <w:t>.</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Однако, даже в рамках одного метода инициализации веса могут иметь различные значения, которые зависят от состояния генератора случайных чисел. Это может вносить различия в результаты обучения. В работе [2] рассматривается влияние инициализирующего сида на результаты классификации с использованием разновидностей модели VGG на наборе данных CIFAR-10 [3]. Авторами рассматривалось три способа выбора значения для сида: (i) последовательные значения [0, 19], (ii) получение псевдослучайного значения с помощью библиотеки numpy</w:t>
      </w:r>
      <w:r>
        <w:rPr>
          <w:rStyle w:val="FootnoteReference"/>
          <w:rFonts w:eastAsia="Times New Roman" w:cs="Times New Roman" w:ascii="Times New Roman" w:hAnsi="Times New Roman"/>
          <w:color w:val="000000"/>
          <w:sz w:val="24"/>
          <w:szCs w:val="24"/>
          <w:vertAlign w:val="superscript"/>
        </w:rPr>
        <w:footnoteReference w:id="2"/>
      </w:r>
      <w:r>
        <w:rPr>
          <w:rFonts w:eastAsia="Times New Roman" w:cs="Times New Roman" w:ascii="Times New Roman" w:hAnsi="Times New Roman"/>
          <w:color w:val="000000"/>
          <w:sz w:val="24"/>
          <w:szCs w:val="24"/>
        </w:rPr>
        <w:t xml:space="preserve"> с инициализацией состояния с помощью последовательного выбора значений [0, 19], (iii) использование стандартной инициализации без фиксирования состояния. Авторы демонстрируют, что разность между минимальным и максимальным значением аккуратности (accuracy) может составлять более 3, при среднем значении 90,584 и стандартном отклонении 0,216. В [4] рассматривают вероятностную модель скрытых состояний для описания динамики обучения нейросетей с использованием 40 сидов.</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работе [5] также рассматривается результат влияния инициализирующего сида на результаты предсказания. Автор рассматривает 3 различных архитектуры/инициализации на 2 датасетах: CIFAR-10 [6] и ImageNet [7]. Автор демонстрирует, что в рамках датасета CIFAR-10 разность между минимальным и максимальным значениями метрики аккуратности может достигать 1,82 при среднем значении 90,02 и стандартном отклонении 0,23. При использовании датасета ImageNet стандартное отклонение составляет около 0,1, а разность между минимальным и максимальным значениями составляет около 0,5 при среднем значении около 76.</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работе [8] предлагается механизм агрегации с вниманием для повышения точности сверточных сетей, при этом все эксперименты проводились с фиксированным сидом 0. В статье [9] для всех экспериментов в области генеративного искусственного интеллекта фиксировался сид 42.</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На основании [10] в ряде работ применяли множество сидов для количественной оценки устойчивости и статистической надёжности предлагаемых методов. В [11] использовали 11 сидов при решении задачи одновременного определения типов клеток и сегментации тканей, в [12] провели эксперименты с 5 сидами в задаче детектирования объектов, в [13] рассмотрели 100 сидов при оптимизации процедуры обучения ResNet для решения задачи классификации, в [14] оценили влияние 50 сидов на точность медицинской сегментации, в [15] применили 10 сидов для отбора наиболее качественных результатов преобразования текста в изображение. Также в работах [16] авторы указывают, что фиксируют сид для исключения случайного выбора “удачного сида”.</w:t>
      </w:r>
    </w:p>
    <w:p>
      <w:pPr>
        <w:pStyle w:val="normal1"/>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b/>
        <w:t>При сравнении исследований обычно используются результаты, указанные другими авторами. При этом повторить эксперимент часто не представляется возможным из-за недостаточного описания постановки.</w:t>
      </w:r>
    </w:p>
    <w:p>
      <w:pPr>
        <w:pStyle w:val="normal1"/>
        <w:spacing w:lineRule="auto" w:line="24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данной работе рассмотрено влияние инциализирующего сида на результаты классификации двух сверточных сетей, обрабатывающих временные ряды, взятые из 7 открытых наборов данных.</w:t>
      </w:r>
    </w:p>
    <w:p>
      <w:pPr>
        <w:pStyle w:val="normal1"/>
        <w:spacing w:lineRule="auto" w:line="240" w:before="0" w:after="0"/>
        <w:ind w:firstLine="709"/>
        <w:jc w:val="both"/>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Модели и данные.</w:t>
      </w:r>
      <w:r>
        <w:rPr>
          <w:rFonts w:eastAsia="Times New Roman" w:cs="Times New Roman" w:ascii="Times New Roman" w:hAnsi="Times New Roman"/>
          <w:b/>
          <w:sz w:val="24"/>
          <w:szCs w:val="24"/>
        </w:rPr>
        <w:t xml:space="preserve"> </w:t>
      </w:r>
      <w:r>
        <w:rPr>
          <w:rFonts w:eastAsia="Times New Roman" w:cs="Times New Roman" w:ascii="Times New Roman" w:hAnsi="Times New Roman"/>
          <w:color w:val="000000"/>
          <w:sz w:val="24"/>
          <w:szCs w:val="24"/>
        </w:rPr>
        <w:t>В дальнейших исследованиях использовалось архитектуры сверточных нейронных сетей: Fully Convolutional Network (FCN) [17], ResNet[18].</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Кодировщик архитектуры FCN, основан на более ранних сверточных нейронных сетях для классификации изображений, таких как VGG-16. Ключевой модификацией является замена полностью связных слоёв на сверточные слои, что позволяет сети работать с изображениями произвольного размера и сохранять пространственные характеристики данных. Энкодер, использующийся в данной работе как сеть для классификации, представляет собой серию сверточных и слоёв пулинга, которые постепенно уменьшают пространственное разрешение, извлекая высокоуровневые признаки из входного изображения. На выходе кодировщика формируются семантически богатые, но низкоразмерные карты признаков, которые затем используются для последующего восстановления пиксельных классификаций в декодере. Также в оригинальной работе рассматривается сеть для обработки изображений. В данной работе она была адаптирована для обработки одномерных сигналов, путём замены двумерных слоев на одномерные.</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Также рассматривается адаптированная для решения задачи классификации одномерных временных рядов архитектура сети ResNet. Представленная модификация архитектуры сохраняет ключевые элементы исходной сети [19], при этом учитывает специфику временных данных. Кодировщик сети состоит из серии последовательно соединённых остаточных (residual) блоков, каждый из которых включает три свёрточных слоя с фильтрами размеров 1×1, 3×3 и снова 1×1. Особое внимание уделяется механизму остаточных соединений (skip-connections), которые обеспечивают прямую передачу информации между входом и выходом блока, который позволяет уменьшить эффект исчезновения градиентов и упрощает процесс обучения более глубоких сетей. После последовательности резидуальных блоков используется слой глобального среднего объединения (global average pooling), который агрегирует информацию вдоль временного измерения. Архитектура завершается полностью связанным выходным слоем. Данная архитектура также дополнительно адаптирована в рамках данной работы для работы с одномерными данными.</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рамках данного исследования было использовано 7 наборов данных</w:t>
      </w:r>
      <w:r>
        <w:rPr>
          <w:rStyle w:val="FootnoteReference"/>
          <w:rFonts w:eastAsia="Times New Roman" w:cs="Times New Roman" w:ascii="Times New Roman" w:hAnsi="Times New Roman"/>
          <w:color w:val="000000"/>
          <w:sz w:val="24"/>
          <w:szCs w:val="24"/>
          <w:vertAlign w:val="superscript"/>
        </w:rPr>
        <w:footnoteReference w:id="3"/>
      </w:r>
      <w:r>
        <w:rPr>
          <w:rFonts w:eastAsia="Times New Roman" w:cs="Times New Roman" w:ascii="Times New Roman" w:hAnsi="Times New Roman"/>
          <w:color w:val="000000"/>
          <w:sz w:val="24"/>
          <w:szCs w:val="24"/>
        </w:rPr>
        <w:t>.</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 Adiac состоит из временных рядов длиной 176 отсчётов, представляющих контуры изображений объектов, сгруппированных в 37 классов. Он содержит 390 обучающих и 391 тестовый экземпляр. Задача — классификация форм по контурам. ECG5000 основан на 20-часовой ЭКГ пациента с сердечной недостаточностью. Из записи были выделены и интерполированы сердечные циклы, после чего случайным образом отобрано 5000 циклов, разбитых на 5 классов. Датасет Fish включает ряды длиной 463 отсчёта, характеризующие 7 видов рыб (по 175 экземпляров в обучающем и тестовом наборах). Lightning2 содержит 2 класса спектрограмм молний длиной 637 отсчётов, всего 60 обучающих и 61 тестовых экземпляров. Lightning7 усложнён за счёт 7 классов и более коротких рядов (319 отсчётов), содержит 70 обучающих и 73 тестовых экземпляра. SonyAIBORobotSurface1 и SonyAIBORobotSurface2 содержат сигналы акселерометров робота Sony AIBO, длиной 70 и 65 отсчётов соответственно, с двумя классами. Тренировочных экземпляров 20 и 27, тестовых 601 и 953 соответственно.</w:t>
      </w:r>
    </w:p>
    <w:p>
      <w:pPr>
        <w:pStyle w:val="normal1"/>
        <w:spacing w:lineRule="auto" w:line="240" w:before="200" w:after="0"/>
        <w:ind w:firstLine="709"/>
        <w:jc w:val="both"/>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Эксперимент.</w:t>
      </w:r>
    </w:p>
    <w:p>
      <w:pPr>
        <w:pStyle w:val="normal1"/>
        <w:spacing w:lineRule="auto" w:line="240" w:before="0" w:after="0"/>
        <w:ind w:firstLine="709"/>
        <w:jc w:val="both"/>
        <w:rPr>
          <w:rFonts w:ascii="Times New Roman" w:hAnsi="Times New Roman" w:eastAsia="Times New Roman" w:cs="Times New Roman"/>
          <w:i/>
          <w:i/>
          <w:sz w:val="24"/>
          <w:szCs w:val="24"/>
        </w:rPr>
      </w:pPr>
      <w:r>
        <w:rPr>
          <w:rFonts w:eastAsia="Times New Roman" w:cs="Times New Roman" w:ascii="Times New Roman" w:hAnsi="Times New Roman"/>
          <w:i/>
          <w:sz w:val="24"/>
          <w:szCs w:val="24"/>
        </w:rPr>
        <w:t xml:space="preserve">Постановка. </w:t>
      </w:r>
    </w:p>
    <w:p>
      <w:pPr>
        <w:pStyle w:val="normal1"/>
        <w:spacing w:lineRule="auto" w:line="240" w:before="0" w:after="0"/>
        <w:ind w:firstLine="709"/>
        <w:jc w:val="both"/>
        <w:rPr>
          <w:rFonts w:ascii="Times New Roman" w:hAnsi="Times New Roman" w:eastAsia="Times New Roman" w:cs="Times New Roman"/>
          <w:i/>
          <w:i/>
          <w:sz w:val="24"/>
          <w:szCs w:val="24"/>
        </w:rPr>
      </w:pPr>
      <w:r>
        <w:rPr>
          <w:rFonts w:eastAsia="Times New Roman" w:cs="Times New Roman" w:ascii="Times New Roman" w:hAnsi="Times New Roman"/>
          <w:color w:val="000000"/>
          <w:sz w:val="24"/>
          <w:szCs w:val="24"/>
        </w:rPr>
        <w:t>Фреймворк PyTorch</w:t>
      </w:r>
      <w:r>
        <w:rPr>
          <w:rStyle w:val="FootnoteReference"/>
          <w:rFonts w:eastAsia="Times New Roman" w:cs="Times New Roman" w:ascii="Times New Roman" w:hAnsi="Times New Roman"/>
          <w:color w:val="000000"/>
          <w:sz w:val="24"/>
          <w:szCs w:val="24"/>
          <w:vertAlign w:val="superscript"/>
        </w:rPr>
        <w:footnoteReference w:id="4"/>
      </w:r>
      <w:r>
        <w:rPr>
          <w:rFonts w:eastAsia="Times New Roman" w:cs="Times New Roman" w:ascii="Times New Roman" w:hAnsi="Times New Roman"/>
          <w:color w:val="000000"/>
          <w:sz w:val="24"/>
          <w:szCs w:val="24"/>
        </w:rPr>
        <w:t>, активно применяемый в современных исследованиях, предоставляет инструменты для улучшения воспроизводимости результатов. Основным методом, позволяющим уменьшить неопределённость результатов экспериментов, является фиксация случайного сида (инициализирующего состояния генератора псевдослучайных чисел). Однако, помимо фиксации сида в самом PyTorch, необходимо также фиксировать сиды стандартной библиотеки Python и библиотеки работы с массивами NumPy, поскольку эти библиотеки также генерируют случайные числа, используемые в вычислениях. Кроме того, важным шагом для достижения стабильной воспроизводимости является активация режима детерминированных операций PyTorch и отключение бенчмаркинга, который в противном случае может автоматически выбирать наиболее быстрые алгоритмы для операций, вводя дополнительную неопределённость (листинг 1).</w:t>
      </w:r>
    </w:p>
    <w:p>
      <w:pPr>
        <w:pStyle w:val="normal1"/>
        <w:spacing w:lineRule="auto" w:line="360" w:before="240" w:after="0"/>
        <w:ind w:firstLine="709"/>
        <w:jc w:val="right"/>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Листинг 1. Фиксирование сида.</w:t>
      </w:r>
    </w:p>
    <w:tbl>
      <w:tblPr>
        <w:tblStyle w:val="Table1"/>
        <w:tblW w:w="9026" w:type="dxa"/>
        <w:jc w:val="left"/>
        <w:tblInd w:w="0" w:type="dxa"/>
        <w:tblLayout w:type="fixed"/>
        <w:tblCellMar>
          <w:top w:w="100" w:type="dxa"/>
          <w:left w:w="100" w:type="dxa"/>
          <w:bottom w:w="100" w:type="dxa"/>
          <w:right w:w="100" w:type="dxa"/>
        </w:tblCellMar>
        <w:tblLook w:val="0400"/>
      </w:tblPr>
      <w:tblGrid>
        <w:gridCol w:w="9026"/>
      </w:tblGrid>
      <w:tr>
        <w:trPr/>
        <w:tc>
          <w:tcPr>
            <w:tcW w:w="9026" w:type="dxa"/>
            <w:tcBorders>
              <w:top w:val="single" w:sz="8" w:space="0" w:color="000000"/>
              <w:left w:val="single" w:sz="8" w:space="0" w:color="000000"/>
              <w:bottom w:val="single" w:sz="8" w:space="0" w:color="000000"/>
              <w:right w:val="single" w:sz="8" w:space="0" w:color="000000"/>
            </w:tcBorders>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random.seed(seed)</w:t>
            </w:r>
          </w:p>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np.random.seed(seed)</w:t>
            </w:r>
          </w:p>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torch.manual_seed(seed)</w:t>
            </w:r>
          </w:p>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torch.backends.cudnn.deterministic = True</w:t>
            </w:r>
          </w:p>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torch.backends.cudnn.benchmark = False</w:t>
            </w:r>
          </w:p>
        </w:tc>
      </w:tr>
    </w:tbl>
    <w:p>
      <w:pPr>
        <w:pStyle w:val="normal1"/>
        <w:spacing w:lineRule="auto" w:line="240" w:before="24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Также для подачи данных в едином порядке, сид генератора загрузчика данных дополнительно фиксировался значением 2025.</w:t>
      </w:r>
    </w:p>
    <w:p>
      <w:pPr>
        <w:pStyle w:val="normal1"/>
        <w:spacing w:lineRule="auto" w:line="24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качестве функции потерь использовалась перекрестная энтропия (CrossEntropyLoss), оптимизатор – Adam (шаг – 0.001). Для обучения использовалось 500 эпох. Все эксперименты проводились с использованием графического процессора NVIDIA AD106M (GeForce RTX 4070 Max-Q, 8188 MiB). </w:t>
      </w:r>
    </w:p>
    <w:p>
      <w:pPr>
        <w:pStyle w:val="normal1"/>
        <w:spacing w:lineRule="auto" w:line="240" w:before="0" w:after="0"/>
        <w:ind w:firstLine="709"/>
        <w:jc w:val="both"/>
        <w:rPr>
          <w:rFonts w:ascii="Times New Roman" w:hAnsi="Times New Roman" w:eastAsia="Times New Roman" w:cs="Times New Roman"/>
          <w:b/>
          <w:i/>
          <w:i/>
          <w:sz w:val="24"/>
          <w:szCs w:val="24"/>
        </w:rPr>
      </w:pPr>
      <w:r>
        <w:rPr>
          <w:rFonts w:eastAsia="Times New Roman" w:cs="Times New Roman" w:ascii="Times New Roman" w:hAnsi="Times New Roman"/>
          <w:i/>
          <w:sz w:val="24"/>
          <w:szCs w:val="24"/>
        </w:rPr>
        <w:t>Результаты эксперимента.</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В таблице 1 представлены статистические характеристики аккуратности моделей, решающих задачу классификации, обученных на датасетах с временными рядами. Для исследования взяты простые и хорошо изученные архитектуры. Рассмотрено 55 сидов [1971, 2025].</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Для сети FCN наиболее устойчивые результаты наблюдаются на Fish и SonyAIBORobotSurface1. В первом случае стандартное отклонение составило 0,005 при размахе 0,023, во втором 0,007 при размахе 0,028. Близкий уровень стабильности показан на ECG5000, стандартное отклонение 0,008 при размахе 0,036. Наиболее нестабильное поведение FCN демонстрирует на Lightning7, где стандартное отклонение достигает 0,024, а размах 0,110. Повышенную вариативность видно и на Lightning2, стандартное отклонение 0,015 при размахе 0,082.</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Для сети ResNet отклонение и размах также зависят от датасета. Наименьшая вариативность наблюдается на Fish и SonyAIBORobotSurface2, где стандартные отклонения составили 0,005 и 0,005 при размахе 0,017 и 0,023. Сходный уровень стабильности получен на SonyAIBORobotSurface1, стандартное отклонение 0,008 при размахе 0,037. Наибольшая нестабильность зафиксирована на Lightning2 и ECG5000, где стандартное отклонение достигло 0,032 и 0,026 соответственно, а размах 0,115 и 0,123.</w:t>
      </w:r>
    </w:p>
    <w:p>
      <w:pPr>
        <w:pStyle w:val="normal1"/>
        <w:spacing w:lineRule="auto" w:line="24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Таким образом, для обеих архитектур наибольшую устойчивость обеспечивают Fish, SonyAIBORobotSurface1 и SonyAIBORobotSurface2, тогда как Lightning2 и ECG5000 характеризуются высокой вариативностью результатов. Для FCN к этой группе нестабильных наборов добавляется Lightning7. Стандартное отклонение и размах значений точности остаются ключевыми параметрами при оценке надежности моделей на различных задачах.</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Таблица 1</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Характеристики аккуратности моделей, обученных на разных сидах</w:t>
      </w:r>
    </w:p>
    <w:tbl>
      <w:tblPr>
        <w:tblStyle w:val="Table2"/>
        <w:tblW w:w="9390" w:type="dxa"/>
        <w:jc w:val="left"/>
        <w:tblInd w:w="0" w:type="dxa"/>
        <w:tblLayout w:type="fixed"/>
        <w:tblCellMar>
          <w:top w:w="40" w:type="dxa"/>
          <w:left w:w="40" w:type="dxa"/>
          <w:bottom w:w="40" w:type="dxa"/>
          <w:right w:w="40" w:type="dxa"/>
        </w:tblCellMar>
        <w:tblLook w:val="0400"/>
      </w:tblPr>
      <w:tblGrid>
        <w:gridCol w:w="786"/>
        <w:gridCol w:w="2600"/>
        <w:gridCol w:w="964"/>
        <w:gridCol w:w="1456"/>
        <w:gridCol w:w="1276"/>
        <w:gridCol w:w="1417"/>
        <w:gridCol w:w="890"/>
      </w:tblGrid>
      <w:tr>
        <w:trPr>
          <w:trHeight w:val="343" w:hRule="atLeast"/>
        </w:trPr>
        <w:tc>
          <w:tcPr>
            <w:tcW w:w="78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Сеть</w:t>
            </w:r>
          </w:p>
        </w:tc>
        <w:tc>
          <w:tcPr>
            <w:tcW w:w="260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Средняя</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Стандартное отклонение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Минимальная</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Максимальная</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Размах</w:t>
            </w:r>
          </w:p>
        </w:tc>
      </w:tr>
      <w:tr>
        <w:trPr>
          <w:trHeight w:val="345" w:hRule="atLeast"/>
        </w:trPr>
        <w:tc>
          <w:tcPr>
            <w:tcW w:w="786" w:type="dxa"/>
            <w:vMerge w:val="restart"/>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0,808</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0,772</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0,847</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0,074</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0,924</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0,899</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0,935</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0,036</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0,969</w:t>
            </w:r>
          </w:p>
        </w:tc>
        <w:tc>
          <w:tcPr>
            <w:tcW w:w="1456"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0,954</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0,977</w:t>
            </w:r>
          </w:p>
        </w:tc>
        <w:tc>
          <w:tcPr>
            <w:tcW w:w="890"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0,023</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0,696</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0,656</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0,738</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0,082</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0,772</w:t>
            </w:r>
          </w:p>
        </w:tc>
        <w:tc>
          <w:tcPr>
            <w:tcW w:w="1456" w:type="dxa"/>
            <w:tcBorders>
              <w:top w:val="single" w:sz="4" w:space="0" w:color="000000"/>
              <w:left w:val="single" w:sz="4" w:space="0" w:color="000000"/>
              <w:bottom w:val="single" w:sz="4" w:space="0" w:color="000000"/>
              <w:right w:val="single" w:sz="4" w:space="0" w:color="000000"/>
            </w:tcBorders>
            <w:shd w:fill="F4CCCC"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0,712</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0,822</w:t>
            </w:r>
          </w:p>
        </w:tc>
        <w:tc>
          <w:tcPr>
            <w:tcW w:w="890" w:type="dxa"/>
            <w:tcBorders>
              <w:top w:val="single" w:sz="4" w:space="0" w:color="000000"/>
              <w:left w:val="single" w:sz="4" w:space="0" w:color="000000"/>
              <w:bottom w:val="single" w:sz="4" w:space="0" w:color="000000"/>
              <w:right w:val="single" w:sz="4" w:space="0" w:color="000000"/>
            </w:tcBorders>
            <w:shd w:fill="F4CCCC"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0,110</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0,957</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0,007</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0,943</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0,972</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0,028</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0,958</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0,933</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0,979</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0,046</w:t>
            </w:r>
          </w:p>
        </w:tc>
      </w:tr>
      <w:tr>
        <w:trPr>
          <w:trHeight w:val="345" w:hRule="atLeast"/>
        </w:trPr>
        <w:tc>
          <w:tcPr>
            <w:tcW w:w="786" w:type="dxa"/>
            <w:vMerge w:val="restart"/>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0,783</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0,013</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0,757</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0,806</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0,049</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0,884</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0,026</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0,798</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0,922</w:t>
            </w:r>
          </w:p>
        </w:tc>
        <w:tc>
          <w:tcPr>
            <w:tcW w:w="890" w:type="dxa"/>
            <w:tcBorders>
              <w:top w:val="single" w:sz="4" w:space="0" w:color="000000"/>
              <w:left w:val="single" w:sz="4" w:space="0" w:color="000000"/>
              <w:bottom w:val="single" w:sz="4" w:space="0" w:color="000000"/>
              <w:right w:val="single" w:sz="4" w:space="0" w:color="000000"/>
            </w:tcBorders>
            <w:shd w:fill="F4CCCC"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0,123</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0,979</w:t>
            </w:r>
          </w:p>
        </w:tc>
        <w:tc>
          <w:tcPr>
            <w:tcW w:w="1456"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0,971</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0,989</w:t>
            </w:r>
          </w:p>
        </w:tc>
        <w:tc>
          <w:tcPr>
            <w:tcW w:w="890"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0,017</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0,712</w:t>
            </w:r>
          </w:p>
        </w:tc>
        <w:tc>
          <w:tcPr>
            <w:tcW w:w="1456" w:type="dxa"/>
            <w:tcBorders>
              <w:top w:val="single" w:sz="4" w:space="0" w:color="000000"/>
              <w:left w:val="single" w:sz="4" w:space="0" w:color="000000"/>
              <w:bottom w:val="single" w:sz="4" w:space="0" w:color="000000"/>
              <w:right w:val="single" w:sz="4" w:space="0" w:color="000000"/>
            </w:tcBorders>
            <w:shd w:fill="F4CCCC"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0,032</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0,656</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0,771</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0,115</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0,788</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0,740</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0,822</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0,082</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0,977</w:t>
            </w:r>
          </w:p>
        </w:tc>
        <w:tc>
          <w:tcPr>
            <w:tcW w:w="14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0,957</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0,993</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0,037</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ind w:firstLine="355" w:left="-355"/>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0,970</w:t>
            </w:r>
          </w:p>
        </w:tc>
        <w:tc>
          <w:tcPr>
            <w:tcW w:w="1456"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0,957</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0,980</w:t>
            </w:r>
          </w:p>
        </w:tc>
        <w:tc>
          <w:tcPr>
            <w:tcW w:w="8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0,023</w:t>
            </w:r>
          </w:p>
        </w:tc>
      </w:tr>
    </w:tbl>
    <w:p>
      <w:pPr>
        <w:pStyle w:val="normal1"/>
        <w:spacing w:lineRule="auto" w:line="240" w:before="240" w:after="16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Таким образом, исследования, утверждающие, что значение метрики превышает аналоги на десятые или сотые доли аккуратности, в некоторых случаях могут являться примером удачной инициализации весов сети.</w:t>
      </w:r>
    </w:p>
    <w:p>
      <w:pPr>
        <w:pStyle w:val="normal1"/>
        <w:spacing w:lineRule="auto" w:line="240" w:before="0" w:after="0"/>
        <w:ind w:firstLine="709"/>
        <w:jc w:val="both"/>
        <w:rPr>
          <w:rFonts w:ascii="Times New Roman" w:hAnsi="Times New Roman" w:eastAsia="Times New Roman" w:cs="Times New Roman"/>
          <w:b/>
          <w:i/>
          <w:i/>
          <w:sz w:val="24"/>
          <w:szCs w:val="24"/>
        </w:rPr>
      </w:pPr>
      <w:r>
        <w:rPr>
          <w:rFonts w:eastAsia="Times New Roman" w:cs="Times New Roman" w:ascii="Times New Roman" w:hAnsi="Times New Roman"/>
          <w:i/>
          <w:sz w:val="24"/>
          <w:szCs w:val="24"/>
        </w:rPr>
        <w:t>Нормальность распределения метрик.</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На рис. 1 представлено распределение аккуратности классификации моделей, указанных выше. Из графиков видно, что чаще всего плотность распределения имеет один пик, вокруг которого сосредоточено основное количество результатов.</w:t>
      </w:r>
    </w:p>
    <w:p>
      <w:pPr>
        <w:pStyle w:val="normal1"/>
        <w:spacing w:lineRule="auto" w:line="24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1"/>
        <w:spacing w:lineRule="auto" w:line="240" w:before="0" w:after="0"/>
        <w:rPr>
          <w:rFonts w:ascii="Times New Roman" w:hAnsi="Times New Roman" w:eastAsia="Times New Roman" w:cs="Times New Roman"/>
          <w:sz w:val="24"/>
          <w:szCs w:val="24"/>
        </w:rPr>
      </w:pPr>
      <w:r>
        <w:rPr/>
        <w:drawing>
          <wp:inline distT="0" distB="0" distL="0" distR="0">
            <wp:extent cx="5736590" cy="3631565"/>
            <wp:effectExtent l="0" t="0" r="0" b="0"/>
            <wp:docPr id="1" name="image1.png" descr="https://lh7-rt.googleusercontent.com/docsz/AD_4nXeG-lxUAmDjCF2b-O899YUAo6qx4C4JmCPCQg0RccJvTfL3otvWssSLYc5ZGZEdN1h1bXRjJR9NMt45M6aMXUoFJcxSKpw2mnugF9a2RivUwlmUqrSi8SCNkWlmnicNTIFs6NGC?key=7xNi64oJZZ3vwZzoA0Mn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https://lh7-rt.googleusercontent.com/docsz/AD_4nXeG-lxUAmDjCF2b-O899YUAo6qx4C4JmCPCQg0RccJvTfL3otvWssSLYc5ZGZEdN1h1bXRjJR9NMt45M6aMXUoFJcxSKpw2mnugF9a2RivUwlmUqrSi8SCNkWlmnicNTIFs6NGC?key=7xNi64oJZZ3vwZzoA0MnQw"/>
                    <pic:cNvPicPr>
                      <a:picLocks noChangeAspect="1" noChangeArrowheads="1"/>
                    </pic:cNvPicPr>
                  </pic:nvPicPr>
                  <pic:blipFill>
                    <a:blip r:embed="rId2"/>
                    <a:stretch>
                      <a:fillRect/>
                    </a:stretch>
                  </pic:blipFill>
                  <pic:spPr bwMode="auto">
                    <a:xfrm>
                      <a:off x="0" y="0"/>
                      <a:ext cx="5736590" cy="3631565"/>
                    </a:xfrm>
                    <a:prstGeom prst="rect">
                      <a:avLst/>
                    </a:prstGeom>
                  </pic:spPr>
                </pic:pic>
              </a:graphicData>
            </a:graphic>
          </wp:inline>
        </w:drawing>
      </w:r>
    </w:p>
    <w:p>
      <w:pPr>
        <w:pStyle w:val="normal1"/>
        <w:spacing w:lineRule="auto" w:line="240" w:before="0" w:after="0"/>
        <w:ind w:firstLine="709"/>
        <w:jc w:val="center"/>
        <w:rPr>
          <w:rFonts w:ascii="Times New Roman" w:hAnsi="Times New Roman" w:eastAsia="Times New Roman" w:cs="Times New Roman"/>
          <w:i/>
          <w:i/>
          <w:sz w:val="24"/>
          <w:szCs w:val="24"/>
        </w:rPr>
      </w:pPr>
      <w:r>
        <w:rPr>
          <w:rFonts w:eastAsia="Times New Roman" w:cs="Times New Roman" w:ascii="Times New Roman" w:hAnsi="Times New Roman"/>
          <w:i/>
          <w:color w:val="000000"/>
          <w:sz w:val="24"/>
          <w:szCs w:val="24"/>
        </w:rPr>
        <w:t>Рис. 1. Плотность распределения аккуратности классификации на различных датасетах</w:t>
      </w:r>
    </w:p>
    <w:p>
      <w:pPr>
        <w:pStyle w:val="normal1"/>
        <w:spacing w:lineRule="auto" w:line="240" w:before="24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Проверка распределения аккуратности моделей на соответствие нормальному проводилась с целью выяснить, допустимо ли использование квантилей нормального закона для построения доверительных интервалов. Для оценки соответствия распределений были применены критерии Шапиро–Уилка (p-значение больше 0,05) и Андерсона–Дарлинга (уровень значимости 0,05). Результаты представлены в таблице 2). Модель FCN демонстрирует нормальность распределения на датасетах Adiac, SonyAIBORobotSurface1 и SonyAIBORobotSurface2 по обоим критериям. Для Lightning7 критерий Шапиро–Уилка дал положительный результат </w:t>
      </w:r>
      <w:r>
        <w:rPr/>
      </w:r>
      <m:oMath xmlns:m="http://schemas.openxmlformats.org/officeDocument/2006/math">
        <m:r>
          <w:rPr>
            <w:rFonts w:ascii="Cambria Math" w:hAnsi="Cambria Math"/>
          </w:rPr>
          <m:t xml:space="preserve">p</m:t>
        </m:r>
        <m:r>
          <w:rPr>
            <w:rFonts w:ascii="Cambria Math" w:hAnsi="Cambria Math"/>
          </w:rPr>
          <m:t xml:space="preserve">=</m:t>
        </m:r>
        <m:r>
          <w:rPr>
            <w:rFonts w:ascii="Cambria Math" w:hAnsi="Cambria Math"/>
          </w:rPr>
          <m:t xml:space="preserve">0,0813</m:t>
        </m:r>
      </m:oMath>
      <w:r>
        <w:rPr>
          <w:rFonts w:eastAsia="Times New Roman" w:cs="Times New Roman" w:ascii="Times New Roman" w:hAnsi="Times New Roman"/>
          <w:color w:val="000000"/>
          <w:sz w:val="24"/>
          <w:szCs w:val="24"/>
        </w:rPr>
        <w:t>, однако по критерию Андерсона–Дарлинга значение статистики 0,9266 превысило критический уровень 0,739, что указывает на отсутствие нормальности. На остальных наборах данных (ECG5000, Fish, Lightning2) оба критерия опровергли гипотезу нормальности.</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Результаты модели ResNet показали меньшее соответствие нормальному распределению по критериям Шапиро–Уилка и Андерсона–Дарлинга, подтвердив его только на Adiac и SonyAIBORobotSurface2. По критерию Андерсона–Дарлинга распределение соответствовало нормальному для ECG5000, несмотря на низкое p-значение 0,0172 по Шапиро–Уилку. На остальных датасетах (Fish, Lightning2, Lightning7, SonyAIBORobotSurface1) оба критерия показали отклонение от нормального распределения.</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Таким образом, распределения метрик моделей FCN и ResNet в большинстве случаев не являются нормальными. Обе модели на обоих критерия отклонили гипотезу нормальности на датасетах Fish и Lightning2. На датасатетах Adiac и SonyAIBORobotSurface2 обе модели удовлетворяют условиям нормальности обоих тестов. В остальных комбинациях датасетов и моделей наблюдается расхождение.</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Таблица 2 </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Нормальность распределения значений аккуратности, обученных на разных сидах</w:t>
      </w:r>
    </w:p>
    <w:tbl>
      <w:tblPr>
        <w:tblStyle w:val="Table3"/>
        <w:tblW w:w="9345" w:type="dxa"/>
        <w:jc w:val="center"/>
        <w:tblInd w:w="0" w:type="dxa"/>
        <w:tblLayout w:type="fixed"/>
        <w:tblCellMar>
          <w:top w:w="40" w:type="dxa"/>
          <w:left w:w="40" w:type="dxa"/>
          <w:bottom w:w="40" w:type="dxa"/>
          <w:right w:w="40" w:type="dxa"/>
        </w:tblCellMar>
        <w:tblLook w:val="0400"/>
      </w:tblPr>
      <w:tblGrid>
        <w:gridCol w:w="786"/>
        <w:gridCol w:w="2600"/>
        <w:gridCol w:w="3189"/>
        <w:gridCol w:w="2769"/>
      </w:tblGrid>
      <w:tr>
        <w:trPr>
          <w:trHeight w:val="615" w:hRule="atLeast"/>
        </w:trPr>
        <w:tc>
          <w:tcPr>
            <w:tcW w:w="78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Сеть</w:t>
            </w:r>
          </w:p>
        </w:tc>
        <w:tc>
          <w:tcPr>
            <w:tcW w:w="260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P-значение критерия Шапиро–Уилка</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Критерий Андерсона–Дарлинга</w:t>
            </w:r>
          </w:p>
        </w:tc>
      </w:tr>
      <w:tr>
        <w:trPr>
          <w:trHeight w:val="345" w:hRule="atLeast"/>
        </w:trPr>
        <w:tc>
          <w:tcPr>
            <w:tcW w:w="786" w:type="dxa"/>
            <w:vMerge w:val="restart"/>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0,6573</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0,3593</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0,0002</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1,7574</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0,0000</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5,1043</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0,0001</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3,2711</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0,0813</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0,9266</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0,3206</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0,4098</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0,4734</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0,3895</w:t>
            </w:r>
          </w:p>
        </w:tc>
      </w:tr>
      <w:tr>
        <w:trPr>
          <w:trHeight w:val="345" w:hRule="atLeast"/>
        </w:trPr>
        <w:tc>
          <w:tcPr>
            <w:tcW w:w="786" w:type="dxa"/>
            <w:vMerge w:val="restart"/>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0,2832</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0,4118</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0,0172</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0,6345</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0,0000</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3,6117</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0,0187</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0,9820</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0,0025</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1,3357</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318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0,0002</w:t>
            </w:r>
          </w:p>
        </w:tc>
        <w:tc>
          <w:tcPr>
            <w:tcW w:w="276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2,1110</w:t>
            </w:r>
          </w:p>
        </w:tc>
      </w:tr>
      <w:tr>
        <w:trPr>
          <w:trHeight w:val="345" w:hRule="atLeast"/>
        </w:trPr>
        <w:tc>
          <w:tcPr>
            <w:tcW w:w="7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1"/>
              <w:keepNext w:val="false"/>
              <w:keepLines w:val="false"/>
              <w:widowControl w:val="false"/>
              <w:pBdr/>
              <w:shd w:val="clear" w:fill="auto"/>
              <w:spacing w:lineRule="auto" w:line="276" w:before="0" w:after="0"/>
              <w:ind w:hanging="0" w:left="0" w:right="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2600"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318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0,0913</w:t>
            </w:r>
          </w:p>
        </w:tc>
        <w:tc>
          <w:tcPr>
            <w:tcW w:w="2769" w:type="dxa"/>
            <w:tcBorders>
              <w:top w:val="single" w:sz="4" w:space="0" w:color="000000"/>
              <w:left w:val="single" w:sz="4" w:space="0" w:color="000000"/>
              <w:bottom w:val="single" w:sz="4" w:space="0" w:color="000000"/>
              <w:right w:val="single" w:sz="4" w:space="0" w:color="000000"/>
            </w:tcBorders>
            <w:shd w:fill="D9EAD3" w:val="clear"/>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0,5973</w:t>
            </w:r>
          </w:p>
        </w:tc>
      </w:tr>
    </w:tbl>
    <w:p>
      <w:pPr>
        <w:pStyle w:val="normal1"/>
        <w:spacing w:lineRule="auto" w:line="240" w:before="200" w:after="0"/>
        <w:ind w:firstLine="709"/>
        <w:jc w:val="both"/>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Новая метрика воспроизводимости</w:t>
      </w:r>
      <w:r>
        <w:rPr>
          <w:rFonts w:eastAsia="Times New Roman" w:cs="Times New Roman" w:ascii="Times New Roman" w:hAnsi="Times New Roman"/>
          <w:b/>
          <w:sz w:val="24"/>
          <w:szCs w:val="24"/>
        </w:rPr>
        <w:t xml:space="preserve">. </w:t>
      </w:r>
      <w:r>
        <w:rPr>
          <w:rFonts w:eastAsia="Times New Roman" w:cs="Times New Roman" w:ascii="Times New Roman" w:hAnsi="Times New Roman"/>
          <w:color w:val="000000"/>
          <w:sz w:val="24"/>
          <w:szCs w:val="24"/>
        </w:rPr>
        <w:t>Наиболее часто используемые метрики для оценки качества моделей: аккуратность (accuracy), точность (precision), полнота (recall), F1-мера. В связи с наблюдаемым варьированием результатов при повторных запусках с использованием различных состояний генератора случайных чисел предлагается ввести некоторый способ учета при сравнении результатов.</w:t>
      </w:r>
    </w:p>
    <w:p>
      <w:pPr>
        <w:pStyle w:val="normal1"/>
        <w:spacing w:lineRule="auto"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Можно использовать среднее значение и стандартное отклонение, однако в данном случае отсутствует универсальность при варьирующемся количестве запусков на разных сидах. Поэтому имеет смысл ввести мета-метрику воспроизводимости:</w:t>
      </w:r>
    </w:p>
    <w:p>
      <w:pPr>
        <w:pStyle w:val="normal1"/>
        <w:jc w:val="center"/>
        <w:rPr>
          <w:rFonts w:ascii="Cambria Math" w:hAnsi="Cambria Math" w:eastAsia="Cambria Math" w:cs="Cambria Math"/>
        </w:rPr>
      </w:pPr>
      <w:r>
        <w:rPr/>
      </w:r>
      <m:oMathPara xmlns:m="http://schemas.openxmlformats.org/officeDocument/2006/math">
        <m:oMathParaPr>
          <m:jc m:val="center"/>
        </m:oMathParaPr>
        <m:oMath>
          <m:r>
            <w:rPr>
              <w:rFonts w:ascii="Cambria Math" w:hAnsi="Cambria Math"/>
            </w:rPr>
            <m:t xml:space="preserve">RM</m:t>
          </m:r>
          <m:d>
            <m:dPr>
              <m:begChr m:val="("/>
              <m:endChr m:val=")"/>
            </m:dPr>
            <m:e>
              <m:r>
                <w:rPr>
                  <w:rFonts w:ascii="Cambria Math" w:hAnsi="Cambria Math"/>
                </w:rPr>
                <m:t xml:space="preserve">λ</m:t>
              </m:r>
              <m:r>
                <w:rPr>
                  <w:rFonts w:ascii="Cambria Math" w:hAnsi="Cambria Math"/>
                </w:rPr>
                <m:t xml:space="preserve">,</m:t>
              </m:r>
              <m:r>
                <w:rPr>
                  <w:rFonts w:ascii="Cambria Math" w:hAnsi="Cambria Math"/>
                </w:rPr>
                <m:t xml:space="preserve">n</m:t>
              </m:r>
            </m:e>
          </m:d>
          <m:r>
            <w:rPr>
              <w:rFonts w:ascii="Cambria Math" w:hAnsi="Cambria Math"/>
            </w:rPr>
            <m:t xml:space="preserve">=</m:t>
          </m:r>
          <m:sSub>
            <m:e>
              <m:r>
                <w:rPr>
                  <w:rFonts w:ascii="Cambria Math" w:hAnsi="Cambria Math"/>
                </w:rPr>
                <m:t xml:space="preserve">μ</m:t>
              </m:r>
            </m:e>
            <m:sub>
              <m:r>
                <w:rPr>
                  <w:rFonts w:ascii="Cambria Math" w:hAnsi="Cambria Math"/>
                </w:rPr>
                <m:t xml:space="preserve">m</m:t>
              </m:r>
            </m:sub>
          </m:sSub>
          <m:r>
            <w:rPr>
              <w:rFonts w:ascii="Cambria Math" w:hAnsi="Cambria Math"/>
            </w:rPr>
            <m:t xml:space="preserve">−</m:t>
          </m:r>
          <m:r>
            <w:rPr>
              <w:rFonts w:ascii="Cambria Math" w:hAnsi="Cambria Math"/>
            </w:rPr>
            <m:t xml:space="preserve">λ</m:t>
          </m:r>
          <m:f>
            <m:num>
              <m:sSub>
                <m:e>
                  <m:r>
                    <w:rPr>
                      <w:rFonts w:ascii="Cambria Math" w:hAnsi="Cambria Math"/>
                    </w:rPr>
                    <m:t xml:space="preserve">σ</m:t>
                  </m:r>
                </m:e>
                <m:sub>
                  <m:r>
                    <w:rPr>
                      <w:rFonts w:ascii="Cambria Math" w:hAnsi="Cambria Math"/>
                    </w:rPr>
                    <m:t xml:space="preserve">m</m:t>
                  </m:r>
                </m:sub>
              </m:sSub>
            </m:num>
            <m:den>
              <m:rad>
                <m:radPr>
                  <m:degHide m:val="1"/>
                </m:radPr>
                <m:deg/>
                <m:e/>
              </m:rad>
            </m:den>
          </m:f>
        </m:oMath>
      </m:oMathPara>
    </w:p>
    <w:p>
      <w:pPr>
        <w:pStyle w:val="normal1"/>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где  </w:t>
      </w:r>
      <w:r>
        <w:rPr/>
      </w:r>
      <m:oMath xmlns:m="http://schemas.openxmlformats.org/officeDocument/2006/math">
        <m:r>
          <w:rPr>
            <w:rFonts w:ascii="Cambria Math" w:hAnsi="Cambria Math"/>
          </w:rPr>
          <m:t xml:space="preserve">λ</m:t>
        </m:r>
        <m:r>
          <w:rPr>
            <w:rFonts w:ascii="Cambria Math" w:hAnsi="Cambria Math"/>
          </w:rPr>
          <m:t xml:space="preserve">≥</m:t>
        </m:r>
        <m:r>
          <w:rPr>
            <w:rFonts w:ascii="Cambria Math" w:hAnsi="Cambria Math"/>
          </w:rPr>
          <m:t xml:space="preserve">0</m:t>
        </m:r>
      </m:oMath>
      <w:r>
        <w:rPr>
          <w:rFonts w:eastAsia="Times New Roman" w:cs="Times New Roman" w:ascii="Times New Roman" w:hAnsi="Times New Roman"/>
          <w:color w:val="000000"/>
          <w:sz w:val="24"/>
          <w:szCs w:val="24"/>
        </w:rPr>
        <w:t xml:space="preserve"> — коэффициент штрафа за нестабильность, который нужно выбирать эмпирически, </w:t>
      </w:r>
      <w:r>
        <w:rPr>
          <w:rFonts w:eastAsia="Times New Roman" w:cs="Times New Roman" w:ascii="Times New Roman" w:hAnsi="Times New Roman"/>
          <w:i/>
          <w:color w:val="000000"/>
          <w:sz w:val="24"/>
          <w:szCs w:val="24"/>
        </w:rPr>
        <w:t>n</w:t>
      </w:r>
      <w:r>
        <w:rPr>
          <w:rFonts w:eastAsia="Times New Roman" w:cs="Times New Roman" w:ascii="Times New Roman" w:hAnsi="Times New Roman"/>
          <w:color w:val="000000"/>
          <w:sz w:val="24"/>
          <w:szCs w:val="24"/>
        </w:rPr>
        <w:t xml:space="preserve"> – количество повторных запусков на различных инициализирующих сидах. Чем выше значение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тем сильнее учитывается влияние разброса результатов между запусками. </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Предлагаемая формула структурно аналогична нижней границе доверительного интервала для среднего значения. Однако оригинальную формулу доверительного интервала нельзя использовать из-за того, что распределение значений метрик при обучении на различных инициализирующих сидах не является нормальным.</w:t>
      </w:r>
    </w:p>
    <w:p>
      <w:pPr>
        <w:pStyle w:val="normal1"/>
        <w:spacing w:lineRule="auto" w:line="24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На основе предложенной мета-метрики RM и наиболее часто используемых в задаче классификации метик можно рассмотреть 4 производных метрики: (i)  RM</w:t>
      </w:r>
      <w:r>
        <w:rPr>
          <w:rFonts w:eastAsia="Times New Roman" w:cs="Times New Roman" w:ascii="Times New Roman" w:hAnsi="Times New Roman"/>
          <w:color w:val="000000"/>
          <w:sz w:val="24"/>
          <w:szCs w:val="24"/>
          <w:vertAlign w:val="subscript"/>
        </w:rPr>
        <w:t>acc</w:t>
      </w:r>
      <w:r>
        <w:rPr>
          <w:rFonts w:eastAsia="Times New Roman" w:cs="Times New Roman" w:ascii="Times New Roman" w:hAnsi="Times New Roman"/>
          <w:color w:val="000000"/>
          <w:sz w:val="24"/>
          <w:szCs w:val="24"/>
        </w:rPr>
        <w:t>(</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n) – метрика воспроизводимости аккуратности; (ii) RM</w:t>
      </w:r>
      <w:r>
        <w:rPr>
          <w:rFonts w:eastAsia="Times New Roman" w:cs="Times New Roman" w:ascii="Times New Roman" w:hAnsi="Times New Roman"/>
          <w:color w:val="000000"/>
          <w:sz w:val="24"/>
          <w:szCs w:val="24"/>
          <w:vertAlign w:val="subscript"/>
        </w:rPr>
        <w:t>precision</w:t>
      </w:r>
      <w:r>
        <w:rPr>
          <w:rFonts w:eastAsia="Times New Roman" w:cs="Times New Roman" w:ascii="Times New Roman" w:hAnsi="Times New Roman"/>
          <w:color w:val="000000"/>
          <w:sz w:val="24"/>
          <w:szCs w:val="24"/>
        </w:rPr>
        <w:t>(</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n) – метрика воспроизводимости точности; (iii) RM</w:t>
      </w:r>
      <w:r>
        <w:rPr>
          <w:rFonts w:eastAsia="Times New Roman" w:cs="Times New Roman" w:ascii="Times New Roman" w:hAnsi="Times New Roman"/>
          <w:color w:val="000000"/>
          <w:sz w:val="24"/>
          <w:szCs w:val="24"/>
          <w:vertAlign w:val="subscript"/>
        </w:rPr>
        <w:t>recall</w:t>
      </w:r>
      <w:r>
        <w:rPr>
          <w:rFonts w:eastAsia="Times New Roman" w:cs="Times New Roman" w:ascii="Times New Roman" w:hAnsi="Times New Roman"/>
          <w:color w:val="000000"/>
          <w:sz w:val="24"/>
          <w:szCs w:val="24"/>
        </w:rPr>
        <w:t>(</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n) – метрика воспроизводимости полноты; (iv) RM</w:t>
      </w:r>
      <w:r>
        <w:rPr>
          <w:rFonts w:eastAsia="Times New Roman" w:cs="Times New Roman" w:ascii="Times New Roman" w:hAnsi="Times New Roman"/>
          <w:color w:val="000000"/>
          <w:sz w:val="24"/>
          <w:szCs w:val="24"/>
          <w:vertAlign w:val="subscript"/>
        </w:rPr>
        <w:t>F1</w:t>
      </w:r>
      <w:r>
        <w:rPr>
          <w:rFonts w:eastAsia="Times New Roman" w:cs="Times New Roman" w:ascii="Times New Roman" w:hAnsi="Times New Roman"/>
          <w:color w:val="000000"/>
          <w:sz w:val="24"/>
          <w:szCs w:val="24"/>
        </w:rPr>
        <w:t>(</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n) – метрика воспроизводимости F1-меры. Аналогичным способом можно ввести метрику воспроизводимости для других метрик, представленных числовыми значениями.</w:t>
      </w:r>
    </w:p>
    <w:p>
      <w:pPr>
        <w:pStyle w:val="normal1"/>
        <w:spacing w:lineRule="auto" w:line="240" w:before="0" w:after="0"/>
        <w:ind w:firstLine="709"/>
        <w:jc w:val="both"/>
        <w:rPr>
          <w:rFonts w:ascii="Times New Roman" w:hAnsi="Times New Roman" w:eastAsia="Times New Roman" w:cs="Times New Roman"/>
          <w:b/>
          <w:i/>
          <w:i/>
          <w:sz w:val="24"/>
          <w:szCs w:val="24"/>
        </w:rPr>
      </w:pPr>
      <w:r>
        <w:rPr>
          <w:rFonts w:eastAsia="Times New Roman" w:cs="Times New Roman" w:ascii="Times New Roman" w:hAnsi="Times New Roman"/>
          <w:i/>
          <w:sz w:val="24"/>
          <w:szCs w:val="24"/>
        </w:rPr>
        <w:t>Выбор параметров.</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Проведен эксперимент по выбору значения коэффициента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Для каждой пары «датасет–сеть» из первичной выборки, состоящей из 55 независимых запусков, сформировано множество значений воспроизводимости </w:t>
      </w:r>
      <w:r>
        <w:rPr>
          <w:rFonts w:eastAsia="Times New Roman" w:cs="Times New Roman" w:ascii="Times New Roman" w:hAnsi="Times New Roman"/>
          <w:i/>
          <w:color w:val="000000"/>
          <w:sz w:val="24"/>
          <w:szCs w:val="24"/>
        </w:rPr>
        <w:t>X</w:t>
      </w:r>
      <w:r>
        <w:rPr>
          <w:rFonts w:eastAsia="Times New Roman" w:cs="Times New Roman" w:ascii="Times New Roman" w:hAnsi="Times New Roman"/>
          <w:color w:val="000000"/>
          <w:sz w:val="24"/>
          <w:szCs w:val="24"/>
        </w:rPr>
        <w:t xml:space="preserve">. Далее для каждого фиксированного размера подвыборки </w:t>
      </w:r>
      <w:r>
        <w:rPr/>
      </w:r>
      <m:oMath xmlns:m="http://schemas.openxmlformats.org/officeDocument/2006/math">
        <m:r>
          <w:rPr>
            <w:rFonts w:ascii="Cambria Math" w:hAnsi="Cambria Math"/>
          </w:rPr>
          <m:t xml:space="preserve">n</m:t>
        </m:r>
        <m:r>
          <w:rPr>
            <w:rFonts w:ascii="Cambria Math" w:hAnsi="Cambria Math"/>
          </w:rPr>
          <m:t xml:space="preserve">∈</m:t>
        </m:r>
        <m:r>
          <w:rPr>
            <w:rFonts w:ascii="Cambria Math" w:hAnsi="Cambria Math"/>
          </w:rPr>
          <m:t xml:space="preserve">{</m:t>
        </m:r>
        <m:r>
          <w:rPr>
            <w:rFonts w:ascii="Cambria Math" w:hAnsi="Cambria Math"/>
          </w:rPr>
          <m:t xml:space="preserve">5</m:t>
        </m:r>
        <m:r>
          <w:rPr>
            <w:rFonts w:ascii="Cambria Math" w:hAnsi="Cambria Math"/>
          </w:rPr>
          <m:t xml:space="preserve">,</m:t>
        </m:r>
        <m:r>
          <w:rPr>
            <w:rFonts w:ascii="Cambria Math" w:hAnsi="Cambria Math"/>
          </w:rPr>
          <m:t xml:space="preserve">10</m:t>
        </m:r>
        <m:r>
          <w:rPr>
            <w:rFonts w:ascii="Cambria Math" w:hAnsi="Cambria Math"/>
          </w:rPr>
          <m:t xml:space="preserve">,</m:t>
        </m:r>
        <m:r>
          <w:rPr>
            <w:rFonts w:ascii="Cambria Math" w:hAnsi="Cambria Math"/>
          </w:rPr>
          <m:t xml:space="preserve">15</m:t>
        </m:r>
        <m:r>
          <w:rPr>
            <w:rFonts w:ascii="Cambria Math" w:hAnsi="Cambria Math"/>
          </w:rPr>
          <m:t xml:space="preserve">}</m:t>
        </m:r>
      </m:oMath>
      <w:r>
        <w:rPr>
          <w:rFonts w:eastAsia="Times New Roman" w:cs="Times New Roman" w:ascii="Times New Roman" w:hAnsi="Times New Roman"/>
          <w:color w:val="000000"/>
          <w:sz w:val="24"/>
          <w:szCs w:val="24"/>
        </w:rPr>
        <w:t xml:space="preserve"> методом бутстрэппинга было сгенерировано по 1000 случайных подвыборок из </w:t>
      </w:r>
      <w:r>
        <w:rPr>
          <w:rFonts w:eastAsia="Times New Roman" w:cs="Times New Roman" w:ascii="Times New Roman" w:hAnsi="Times New Roman"/>
          <w:i/>
          <w:color w:val="000000"/>
          <w:sz w:val="24"/>
          <w:szCs w:val="24"/>
        </w:rPr>
        <w:t>X</w:t>
      </w:r>
      <w:r>
        <w:rPr>
          <w:rFonts w:eastAsia="Times New Roman" w:cs="Times New Roman" w:ascii="Times New Roman" w:hAnsi="Times New Roman"/>
          <w:color w:val="000000"/>
          <w:sz w:val="24"/>
          <w:szCs w:val="24"/>
        </w:rPr>
        <w:t xml:space="preserve">. Также были рассмотрены  значения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в диапазоне от 1 до 15 с шагом 0,1. Для каждой подвыборки и каждого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вычислялась метрика воспроизводимости RM. Для оценки качества каждого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были вычислены абсолютные значения относительной ошибки</w:t>
      </w:r>
    </w:p>
    <w:p>
      <w:pPr>
        <w:pStyle w:val="normal1"/>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δ</m:t>
              </m:r>
            </m:e>
            <m:sub>
              <m:r>
                <w:rPr>
                  <w:rFonts w:ascii="Cambria Math" w:hAnsi="Cambria Math"/>
                </w:rPr>
                <m:t xml:space="preserve">n</m:t>
              </m:r>
            </m:sub>
          </m:sSub>
          <m:r>
            <w:rPr>
              <w:rFonts w:ascii="Cambria Math" w:hAnsi="Cambria Math"/>
            </w:rPr>
            <m:t xml:space="preserve">=</m:t>
          </m:r>
          <m:r>
            <w:rPr>
              <w:rFonts w:ascii="Cambria Math" w:hAnsi="Cambria Math"/>
            </w:rPr>
            <m:t xml:space="preserve">RM</m:t>
          </m:r>
          <m:d>
            <m:dPr>
              <m:begChr m:val="("/>
              <m:endChr m:val=")"/>
            </m:dPr>
            <m:e>
              <m:r>
                <w:rPr>
                  <w:rFonts w:ascii="Cambria Math" w:hAnsi="Cambria Math"/>
                </w:rPr>
                <m:t xml:space="preserve">λ</m:t>
              </m:r>
              <m:r>
                <w:rPr>
                  <w:rFonts w:ascii="Cambria Math" w:hAnsi="Cambria Math"/>
                </w:rPr>
                <m:t xml:space="preserve">,</m:t>
              </m:r>
              <m:r>
                <w:rPr>
                  <w:rFonts w:ascii="Cambria Math" w:hAnsi="Cambria Math"/>
                </w:rPr>
                <m:t xml:space="preserve">n</m:t>
              </m:r>
            </m:e>
          </m:d>
          <m:r>
            <w:rPr>
              <w:rFonts w:ascii="Cambria Math" w:hAnsi="Cambria Math"/>
            </w:rPr>
            <m:t xml:space="preserve">−</m:t>
          </m:r>
          <m:r>
            <w:rPr>
              <w:rFonts w:ascii="Cambria Math" w:hAnsi="Cambria Math"/>
            </w:rPr>
            <m:t xml:space="preserve">min</m:t>
          </m:r>
          <m:r>
            <w:rPr>
              <w:rFonts w:ascii="Cambria Math" w:hAnsi="Cambria Math"/>
            </w:rPr>
            <m:t xml:space="preserve">⁡</m:t>
          </m:r>
          <m:r>
            <w:rPr>
              <w:rFonts w:ascii="Cambria Math" w:hAnsi="Cambria Math"/>
            </w:rPr>
            <m:t xml:space="preserve">(</m:t>
          </m:r>
          <m:r>
            <w:rPr>
              <w:rFonts w:ascii="Cambria Math" w:hAnsi="Cambria Math"/>
            </w:rPr>
            <m:t xml:space="preserve">X</m:t>
          </m:r>
          <m:r>
            <w:rPr>
              <w:rFonts w:ascii="Cambria Math" w:hAnsi="Cambria Math"/>
            </w:rPr>
            <m:t xml:space="preserve">)</m:t>
          </m:r>
          <m:r>
            <w:rPr>
              <w:rFonts w:ascii="Cambria Math" w:hAnsi="Cambria Math"/>
            </w:rPr>
            <m:t xml:space="preserve">∨</m:t>
          </m:r>
          <m:f>
            <m:num/>
            <m:den>
              <m:r>
                <w:rPr>
                  <w:rFonts w:ascii="Cambria Math" w:hAnsi="Cambria Math"/>
                </w:rPr>
                <m:t xml:space="preserve">min</m:t>
              </m:r>
              <m:r>
                <w:rPr>
                  <w:rFonts w:ascii="Cambria Math" w:hAnsi="Cambria Math"/>
                </w:rPr>
                <m:t xml:space="preserve">⁡</m:t>
              </m:r>
              <m:r>
                <w:rPr>
                  <w:rFonts w:ascii="Cambria Math" w:hAnsi="Cambria Math"/>
                </w:rPr>
                <m:t xml:space="preserve">(</m:t>
              </m:r>
              <m:r>
                <w:rPr>
                  <w:rFonts w:ascii="Cambria Math" w:hAnsi="Cambria Math"/>
                </w:rPr>
                <m:t xml:space="preserve">x</m:t>
              </m:r>
              <m:r>
                <w:rPr>
                  <w:rFonts w:ascii="Cambria Math" w:hAnsi="Cambria Math"/>
                </w:rPr>
                <m:t xml:space="preserve">)</m:t>
              </m:r>
            </m:den>
          </m:f>
          <m:r>
            <w:rPr>
              <w:rFonts w:ascii="Cambria Math" w:hAnsi="Cambria Math"/>
            </w:rPr>
            <m:t xml:space="preserve">,</m:t>
          </m:r>
        </m:oMath>
      </m:oMathPara>
    </w:p>
    <w:p>
      <w:pPr>
        <w:pStyle w:val="normal1"/>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которая показывает, насколько близко оценка RM приближается к эмпирическому минимуму выборки </w:t>
      </w:r>
      <w:r>
        <w:rPr>
          <w:rFonts w:eastAsia="Times New Roman" w:cs="Times New Roman" w:ascii="Times New Roman" w:hAnsi="Times New Roman"/>
          <w:i/>
          <w:color w:val="000000"/>
          <w:sz w:val="24"/>
          <w:szCs w:val="24"/>
        </w:rPr>
        <w:t>X</w:t>
      </w:r>
      <w:r>
        <w:rPr>
          <w:rFonts w:eastAsia="Times New Roman" w:cs="Times New Roman" w:ascii="Times New Roman" w:hAnsi="Times New Roman"/>
          <w:color w:val="000000"/>
          <w:sz w:val="24"/>
          <w:szCs w:val="24"/>
        </w:rPr>
        <w:t xml:space="preserve">. Средняя величина </w:t>
      </w:r>
      <w:r>
        <w:rPr/>
      </w:r>
      <m:oMath xmlns:m="http://schemas.openxmlformats.org/officeDocument/2006/math">
        <m:sSub>
          <m:e>
            <m:r>
              <w:rPr>
                <w:rFonts w:ascii="Cambria Math" w:hAnsi="Cambria Math"/>
              </w:rPr>
              <m:t xml:space="preserve">Δ</m:t>
            </m:r>
          </m:e>
          <m:sub>
            <m:r>
              <w:rPr>
                <w:rFonts w:ascii="Cambria Math" w:hAnsi="Cambria Math"/>
              </w:rPr>
              <m:t xml:space="preserve">n</m:t>
            </m:r>
          </m:sub>
        </m:sSub>
      </m:oMath>
      <w:r>
        <w:rPr>
          <w:rFonts w:eastAsia="Times New Roman" w:cs="Times New Roman" w:ascii="Times New Roman" w:hAnsi="Times New Roman"/>
          <w:color w:val="000000"/>
          <w:sz w:val="24"/>
          <w:szCs w:val="24"/>
        </w:rPr>
        <w:t xml:space="preserve"> по 1000 значениям </w:t>
      </w:r>
      <w:r>
        <w:rPr/>
      </w:r>
      <m:oMath xmlns:m="http://schemas.openxmlformats.org/officeDocument/2006/math">
        <m:sSub>
          <m:e>
            <m:r>
              <w:rPr>
                <w:rFonts w:ascii="Cambria Math" w:hAnsi="Cambria Math"/>
              </w:rPr>
              <m:t xml:space="preserve">δ</m:t>
            </m:r>
          </m:e>
          <m:sub>
            <m:r>
              <w:rPr>
                <w:rFonts w:ascii="Cambria Math" w:hAnsi="Cambria Math"/>
              </w:rPr>
              <m:t xml:space="preserve">n</m:t>
            </m:r>
          </m:sub>
        </m:sSub>
      </m:oMath>
      <w:r>
        <w:rPr>
          <w:rFonts w:eastAsia="Times New Roman" w:cs="Times New Roman" w:ascii="Times New Roman" w:hAnsi="Times New Roman"/>
          <w:color w:val="000000"/>
          <w:sz w:val="24"/>
          <w:szCs w:val="24"/>
        </w:rPr>
        <w:t xml:space="preserve"> подвыборок и каждой пары «датасет–сеть» позволила определить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минимизирующее среднюю относительную ошибку при заданном </w:t>
      </w:r>
      <w:r>
        <w:rPr>
          <w:rFonts w:eastAsia="Times New Roman" w:cs="Times New Roman" w:ascii="Times New Roman" w:hAnsi="Times New Roman"/>
          <w:i/>
          <w:color w:val="000000"/>
          <w:sz w:val="24"/>
          <w:szCs w:val="24"/>
        </w:rPr>
        <w:t>n</w:t>
      </w:r>
      <w:r>
        <w:rPr>
          <w:rFonts w:eastAsia="Times New Roman" w:cs="Times New Roman" w:ascii="Times New Roman" w:hAnsi="Times New Roman"/>
          <w:color w:val="000000"/>
          <w:sz w:val="24"/>
          <w:szCs w:val="24"/>
        </w:rPr>
        <w:t>.</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В таблице 3 представлены полученные значения </w:t>
      </w:r>
      <w:r>
        <w:rPr/>
      </w:r>
      <m:oMath xmlns:m="http://schemas.openxmlformats.org/officeDocument/2006/math">
        <m:sSub>
          <m:e>
            <m:r>
              <w:rPr>
                <w:rFonts w:ascii="Cambria Math" w:hAnsi="Cambria Math"/>
              </w:rPr>
              <m:t xml:space="preserve">λ</m:t>
            </m:r>
          </m:e>
          <m:sub>
            <m:r>
              <w:rPr>
                <w:rFonts w:ascii="Cambria Math" w:hAnsi="Cambria Math"/>
              </w:rPr>
              <m:t xml:space="preserve">5</m:t>
            </m:r>
          </m:sub>
        </m:sSub>
      </m:oMath>
      <w:r>
        <w:rPr>
          <w:rFonts w:eastAsia="Times New Roman" w:cs="Times New Roman" w:ascii="Times New Roman" w:hAnsi="Times New Roman"/>
          <w:color w:val="000000"/>
          <w:sz w:val="24"/>
          <w:szCs w:val="24"/>
        </w:rPr>
        <w:t xml:space="preserve">, </w:t>
      </w:r>
      <w:r>
        <w:rPr/>
      </w:r>
      <m:oMath xmlns:m="http://schemas.openxmlformats.org/officeDocument/2006/math">
        <m:sSub>
          <m:e>
            <m:r>
              <w:rPr>
                <w:rFonts w:ascii="Cambria Math" w:hAnsi="Cambria Math"/>
              </w:rPr>
              <m:t xml:space="preserve">λ</m:t>
            </m:r>
          </m:e>
          <m:sub>
            <m:r>
              <w:rPr>
                <w:rFonts w:ascii="Cambria Math" w:hAnsi="Cambria Math"/>
              </w:rPr>
              <m:t xml:space="preserve">10</m:t>
            </m:r>
          </m:sub>
        </m:sSub>
      </m:oMath>
      <w:r>
        <w:rPr>
          <w:rFonts w:eastAsia="Times New Roman" w:cs="Times New Roman" w:ascii="Times New Roman" w:hAnsi="Times New Roman"/>
          <w:color w:val="000000"/>
          <w:sz w:val="24"/>
          <w:szCs w:val="24"/>
        </w:rPr>
        <w:t xml:space="preserve">, </w:t>
      </w:r>
      <w:r>
        <w:rPr/>
      </w:r>
      <m:oMath xmlns:m="http://schemas.openxmlformats.org/officeDocument/2006/math">
        <m:sSub>
          <m:e>
            <m:r>
              <w:rPr>
                <w:rFonts w:ascii="Cambria Math" w:hAnsi="Cambria Math"/>
              </w:rPr>
              <m:t xml:space="preserve">λ</m:t>
            </m:r>
          </m:e>
          <m:sub>
            <m:r>
              <w:rPr>
                <w:rFonts w:ascii="Cambria Math" w:hAnsi="Cambria Math"/>
              </w:rPr>
              <m:t xml:space="preserve">15</m:t>
            </m:r>
          </m:sub>
        </m:sSub>
      </m:oMath>
      <w:r>
        <w:rPr>
          <w:rFonts w:eastAsia="Times New Roman" w:cs="Times New Roman" w:ascii="Times New Roman" w:hAnsi="Times New Roman"/>
          <w:color w:val="000000"/>
          <w:sz w:val="24"/>
          <w:szCs w:val="24"/>
        </w:rPr>
        <w:t xml:space="preserve"> с соответствующими средними ошибками </w:t>
      </w:r>
      <w:r>
        <w:rPr/>
      </w:r>
      <m:oMath xmlns:m="http://schemas.openxmlformats.org/officeDocument/2006/math">
        <m:sSub>
          <m:e>
            <m:r>
              <w:rPr>
                <w:rFonts w:ascii="Cambria Math" w:hAnsi="Cambria Math"/>
              </w:rPr>
              <m:t xml:space="preserve">Δ</m:t>
            </m:r>
          </m:e>
          <m:sub>
            <m:r>
              <w:rPr>
                <w:rFonts w:ascii="Cambria Math" w:hAnsi="Cambria Math"/>
              </w:rPr>
              <m:t xml:space="preserve">5</m:t>
            </m:r>
          </m:sub>
        </m:sSub>
      </m:oMath>
      <w:r>
        <w:rPr>
          <w:rFonts w:eastAsia="Times New Roman" w:cs="Times New Roman" w:ascii="Times New Roman" w:hAnsi="Times New Roman"/>
          <w:color w:val="000000"/>
          <w:sz w:val="24"/>
          <w:szCs w:val="24"/>
        </w:rPr>
        <w:t xml:space="preserve">, </w:t>
      </w:r>
      <w:r>
        <w:rPr/>
      </w:r>
      <m:oMath xmlns:m="http://schemas.openxmlformats.org/officeDocument/2006/math">
        <m:sSub>
          <m:e>
            <m:r>
              <w:rPr>
                <w:rFonts w:ascii="Cambria Math" w:hAnsi="Cambria Math"/>
              </w:rPr>
              <m:t xml:space="preserve">Δ</m:t>
            </m:r>
          </m:e>
          <m:sub>
            <m:r>
              <w:rPr>
                <w:rFonts w:ascii="Cambria Math" w:hAnsi="Cambria Math"/>
              </w:rPr>
              <m:t xml:space="preserve">10</m:t>
            </m:r>
          </m:sub>
        </m:sSub>
      </m:oMath>
      <w:r>
        <w:rPr>
          <w:rFonts w:eastAsia="Times New Roman" w:cs="Times New Roman" w:ascii="Times New Roman" w:hAnsi="Times New Roman"/>
          <w:color w:val="000000"/>
          <w:sz w:val="24"/>
          <w:szCs w:val="24"/>
        </w:rPr>
        <w:t xml:space="preserve">, </w:t>
      </w:r>
      <w:r>
        <w:rPr/>
      </w:r>
      <m:oMath xmlns:m="http://schemas.openxmlformats.org/officeDocument/2006/math">
        <m:sSub>
          <m:e>
            <m:r>
              <w:rPr>
                <w:rFonts w:ascii="Cambria Math" w:hAnsi="Cambria Math"/>
              </w:rPr>
              <m:t xml:space="preserve">Δ</m:t>
            </m:r>
          </m:e>
          <m:sub>
            <m:r>
              <w:rPr>
                <w:rFonts w:ascii="Cambria Math" w:hAnsi="Cambria Math"/>
              </w:rPr>
              <m:t xml:space="preserve">15</m:t>
            </m:r>
          </m:sub>
        </m:sSub>
      </m:oMath>
      <w:r>
        <w:rPr>
          <w:rFonts w:eastAsia="Times New Roman" w:cs="Times New Roman" w:ascii="Times New Roman" w:hAnsi="Times New Roman"/>
          <w:color w:val="000000"/>
          <w:sz w:val="24"/>
          <w:szCs w:val="24"/>
        </w:rPr>
        <w:t xml:space="preserve">. Из таблицы виден рост значений и снижение значений при увеличении размера подвыборок. Также следует отметить, что для всех пар «датасет–сеть» соблюдается </w:t>
      </w:r>
      <w:r>
        <w:rPr/>
      </w:r>
      <m:oMath xmlns:m="http://schemas.openxmlformats.org/officeDocument/2006/math">
        <m:sSub>
          <m:e>
            <m:r>
              <w:rPr>
                <w:rFonts w:ascii="Cambria Math" w:hAnsi="Cambria Math"/>
              </w:rPr>
              <m:t xml:space="preserve">λ</m:t>
            </m:r>
          </m:e>
          <m:sub>
            <m:r>
              <w:rPr>
                <w:rFonts w:ascii="Cambria Math" w:hAnsi="Cambria Math"/>
              </w:rPr>
              <m:t xml:space="preserve">5</m:t>
            </m:r>
          </m:sub>
        </m:sSub>
        <m:r>
          <w:rPr>
            <w:rFonts w:ascii="Cambria Math" w:hAnsi="Cambria Math"/>
          </w:rPr>
          <m:t xml:space="preserve">≤</m:t>
        </m:r>
        <m:sSub>
          <m:e>
            <m:r>
              <w:rPr>
                <w:rFonts w:ascii="Cambria Math" w:hAnsi="Cambria Math"/>
              </w:rPr>
              <m:t xml:space="preserve">λ</m:t>
            </m:r>
          </m:e>
          <m:sub>
            <m:r>
              <w:rPr>
                <w:rFonts w:ascii="Cambria Math" w:hAnsi="Cambria Math"/>
              </w:rPr>
              <m:t xml:space="preserve">10</m:t>
            </m:r>
          </m:sub>
        </m:sSub>
        <m:r>
          <w:rPr>
            <w:rFonts w:ascii="Cambria Math" w:hAnsi="Cambria Math"/>
          </w:rPr>
          <m:t xml:space="preserve">≤</m:t>
        </m:r>
        <m:sSub>
          <m:e>
            <m:r>
              <w:rPr>
                <w:rFonts w:ascii="Cambria Math" w:hAnsi="Cambria Math"/>
              </w:rPr>
              <m:t xml:space="preserve">λ</m:t>
            </m:r>
          </m:e>
          <m:sub>
            <m:r>
              <w:rPr>
                <w:rFonts w:ascii="Cambria Math" w:hAnsi="Cambria Math"/>
              </w:rPr>
              <m:t xml:space="preserve">15</m:t>
            </m:r>
          </m:sub>
        </m:sSub>
      </m:oMath>
      <w:r>
        <w:rPr>
          <w:rFonts w:eastAsia="Times New Roman" w:cs="Times New Roman" w:ascii="Times New Roman" w:hAnsi="Times New Roman"/>
          <w:color w:val="000000"/>
          <w:sz w:val="24"/>
          <w:szCs w:val="24"/>
        </w:rPr>
        <w:t xml:space="preserve">, при этом </w:t>
      </w:r>
      <w:r>
        <w:rPr/>
      </w:r>
      <m:oMath xmlns:m="http://schemas.openxmlformats.org/officeDocument/2006/math">
        <m:sSub>
          <m:e>
            <m:r>
              <w:rPr>
                <w:rFonts w:ascii="Cambria Math" w:hAnsi="Cambria Math"/>
              </w:rPr>
              <m:t xml:space="preserve">Δ</m:t>
            </m:r>
          </m:e>
          <m:sub>
            <m:r>
              <w:rPr>
                <w:rFonts w:ascii="Cambria Math" w:hAnsi="Cambria Math"/>
              </w:rPr>
              <m:t xml:space="preserve">5</m:t>
            </m:r>
          </m:sub>
        </m:sSub>
        <m:r>
          <w:rPr>
            <w:rFonts w:ascii="Cambria Math" w:hAnsi="Cambria Math"/>
          </w:rPr>
          <m:t xml:space="preserve">≥</m:t>
        </m:r>
        <m:sSub>
          <m:e>
            <m:r>
              <w:rPr>
                <w:rFonts w:ascii="Cambria Math" w:hAnsi="Cambria Math"/>
              </w:rPr>
              <m:t xml:space="preserve">Δ</m:t>
            </m:r>
          </m:e>
          <m:sub>
            <m:r>
              <w:rPr>
                <w:rFonts w:ascii="Cambria Math" w:hAnsi="Cambria Math"/>
              </w:rPr>
              <m:t xml:space="preserve">10</m:t>
            </m:r>
          </m:sub>
        </m:sSub>
        <m:r>
          <w:rPr>
            <w:rFonts w:ascii="Cambria Math" w:hAnsi="Cambria Math"/>
          </w:rPr>
          <m:t xml:space="preserve">≥</m:t>
        </m:r>
        <m:sSub>
          <m:e>
            <m:r>
              <w:rPr>
                <w:rFonts w:ascii="Cambria Math" w:hAnsi="Cambria Math"/>
              </w:rPr>
              <m:t xml:space="preserve">Δ</m:t>
            </m:r>
          </m:e>
          <m:sub>
            <m:r>
              <w:rPr>
                <w:rFonts w:ascii="Cambria Math" w:hAnsi="Cambria Math"/>
              </w:rPr>
              <m:t xml:space="preserve">15</m:t>
            </m:r>
          </m:sub>
        </m:sSub>
      </m:oMath>
      <w:r>
        <w:rPr>
          <w:rFonts w:eastAsia="Times New Roman" w:cs="Times New Roman" w:ascii="Times New Roman" w:hAnsi="Times New Roman"/>
          <w:color w:val="000000"/>
          <w:sz w:val="24"/>
          <w:szCs w:val="24"/>
        </w:rPr>
        <w:t xml:space="preserve">. При меньших </w:t>
      </w:r>
      <w:r>
        <w:rPr>
          <w:rFonts w:eastAsia="Times New Roman" w:cs="Times New Roman" w:ascii="Times New Roman" w:hAnsi="Times New Roman"/>
          <w:i/>
          <w:color w:val="000000"/>
          <w:sz w:val="24"/>
          <w:szCs w:val="24"/>
        </w:rPr>
        <w:t>n</w:t>
      </w:r>
      <w:r>
        <w:rPr>
          <w:rFonts w:eastAsia="Times New Roman" w:cs="Times New Roman" w:ascii="Times New Roman" w:hAnsi="Times New Roman"/>
          <w:color w:val="000000"/>
          <w:sz w:val="24"/>
          <w:szCs w:val="24"/>
        </w:rPr>
        <w:t xml:space="preserve"> дисперсия оценок метрики возрастает, что соответствует условиям с наибольшей статистической неопределенностью. Это позволяет определить такое значение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при котором метрика воспроизводимости будет близка к эмпирическому минимуму даже при самом ограниченном числе запусков.</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Таблица 3 </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 xml:space="preserve">Значение,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b/>
          <w:color w:val="000000"/>
          <w:sz w:val="24"/>
          <w:szCs w:val="24"/>
        </w:rPr>
        <w:t xml:space="preserve"> при котором достигается минимальная разность с наименьшим значением</w:t>
      </w:r>
    </w:p>
    <w:tbl>
      <w:tblPr>
        <w:tblStyle w:val="Table4"/>
        <w:tblW w:w="9347" w:type="dxa"/>
        <w:jc w:val="left"/>
        <w:tblInd w:w="0" w:type="dxa"/>
        <w:tblLayout w:type="fixed"/>
        <w:tblCellMar>
          <w:top w:w="40" w:type="dxa"/>
          <w:left w:w="40" w:type="dxa"/>
          <w:bottom w:w="40" w:type="dxa"/>
          <w:right w:w="40" w:type="dxa"/>
        </w:tblCellMar>
        <w:tblLook w:val="0400"/>
      </w:tblPr>
      <w:tblGrid>
        <w:gridCol w:w="2599"/>
        <w:gridCol w:w="965"/>
        <w:gridCol w:w="963"/>
        <w:gridCol w:w="964"/>
        <w:gridCol w:w="964"/>
        <w:gridCol w:w="964"/>
        <w:gridCol w:w="964"/>
        <w:gridCol w:w="963"/>
      </w:tblGrid>
      <w:tr>
        <w:trPr>
          <w:trHeight w:val="292"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Сеть</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λ</m:t>
                    </m:r>
                  </m:e>
                  <m:sub>
                    <m:r>
                      <w:rPr>
                        <w:rFonts w:ascii="Cambria Math" w:hAnsi="Cambria Math"/>
                      </w:rPr>
                      <m:t xml:space="preserve">5</m:t>
                    </m:r>
                  </m:sub>
                </m:sSub>
              </m:oMath>
            </m:oMathPara>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Δ</m:t>
                    </m:r>
                  </m:e>
                  <m:sub>
                    <m:r>
                      <w:rPr>
                        <w:rFonts w:ascii="Cambria Math" w:hAnsi="Cambria Math"/>
                      </w:rPr>
                      <m:t xml:space="preserve">5</m:t>
                    </m:r>
                  </m:sub>
                </m:sSub>
              </m:oMath>
            </m:oMathPara>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λ</m:t>
                    </m:r>
                  </m:e>
                  <m:sub>
                    <m:r>
                      <w:rPr>
                        <w:rFonts w:ascii="Cambria Math" w:hAnsi="Cambria Math"/>
                      </w:rPr>
                      <m:t xml:space="preserve">10</m:t>
                    </m:r>
                  </m:sub>
                </m:sSub>
              </m:oMath>
            </m:oMathPara>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Δ</m:t>
                    </m:r>
                  </m:e>
                  <m:sub>
                    <m:r>
                      <w:rPr>
                        <w:rFonts w:ascii="Cambria Math" w:hAnsi="Cambria Math"/>
                      </w:rPr>
                      <m:t xml:space="preserve">10</m:t>
                    </m:r>
                  </m:sub>
                </m:sSub>
              </m:oMath>
            </m:oMathPara>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λ</m:t>
                    </m:r>
                  </m:e>
                  <m:sub>
                    <m:r>
                      <w:rPr>
                        <w:rFonts w:ascii="Cambria Math" w:hAnsi="Cambria Math"/>
                      </w:rPr>
                      <m:t xml:space="preserve">15</m:t>
                    </m:r>
                  </m:sub>
                </m:sSub>
              </m:oMath>
            </m:oMathPara>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before="0" w:after="160"/>
              <w:jc w:val="center"/>
              <w:rPr>
                <w:rFonts w:ascii="Cambria Math" w:hAnsi="Cambria Math" w:eastAsia="Cambria Math" w:cs="Cambria Math"/>
                <w:color w:val="000000"/>
                <w:sz w:val="24"/>
                <w:szCs w:val="24"/>
              </w:rPr>
            </w:pPr>
            <w:r>
              <w:rPr/>
            </w:r>
            <m:oMathPara xmlns:m="http://schemas.openxmlformats.org/officeDocument/2006/math">
              <m:oMathParaPr>
                <m:jc m:val="center"/>
              </m:oMathParaPr>
              <m:oMath>
                <m:sSub>
                  <m:e>
                    <m:r>
                      <w:rPr>
                        <w:rFonts w:ascii="Cambria Math" w:hAnsi="Cambria Math"/>
                      </w:rPr>
                      <m:t xml:space="preserve">Δ</m:t>
                    </m:r>
                  </m:e>
                  <m:sub>
                    <m:r>
                      <w:rPr>
                        <w:rFonts w:ascii="Cambria Math" w:hAnsi="Cambria Math"/>
                      </w:rPr>
                      <m:t xml:space="preserve">15</m:t>
                    </m:r>
                  </m:sub>
                </m:sSub>
              </m:oMath>
            </m:oMathPara>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4,9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9,0</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0,0060</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4,1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0,0102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6,1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7,6</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0,0048</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0,0118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0,0075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11,4</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0,0060</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0,0381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10,4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0,0268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12,3</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0,0215</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0,0056</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8,8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11,0</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3,1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0,0023</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4,8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0,0014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5,9</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0,0011</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6,0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0,0186</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8,4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9,9</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0,0098</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3,6</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0,0262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0,0167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6,7</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0,0124</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0,0281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0,0182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9,5</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0,0135</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4,3</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0,0199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6,1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7,5</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0,0094</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3,8</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0,0045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7,3</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0,0021</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4,5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0,0059</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9,5</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0,0046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0,0083</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8,1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0,0057</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10,0</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0,0043</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965"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5,4</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0,0051</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7,3</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9,2</w:t>
            </w:r>
          </w:p>
        </w:tc>
        <w:tc>
          <w:tcPr>
            <w:tcW w:w="963"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0,0025</w:t>
            </w:r>
          </w:p>
        </w:tc>
      </w:tr>
    </w:tbl>
    <w:p>
      <w:pPr>
        <w:pStyle w:val="normal1"/>
        <w:spacing w:lineRule="auto" w:line="240" w:before="24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Рекомендуемое значение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вычисляется как средневзвешенное усредненных значений по размеру подвыборки для всех пар «датасет–сеть». Весовые коэффициенты </w:t>
      </w:r>
      <w:r>
        <w:rPr/>
      </w:r>
      <m:oMath xmlns:m="http://schemas.openxmlformats.org/officeDocument/2006/math">
        <m:sSub>
          <m:e>
            <m:r>
              <w:rPr>
                <w:rFonts w:ascii="Cambria Math" w:hAnsi="Cambria Math"/>
              </w:rPr>
              <m:t xml:space="preserve">w</m:t>
            </m:r>
          </m:e>
          <m:sub>
            <m:r>
              <w:rPr>
                <w:rFonts w:ascii="Cambria Math" w:hAnsi="Cambria Math"/>
              </w:rPr>
              <m:t xml:space="preserve">i</m:t>
            </m:r>
          </m:sub>
        </m:sSub>
        <m:r>
          <w:rPr>
            <w:rFonts w:ascii="Cambria Math" w:hAnsi="Cambria Math"/>
          </w:rPr>
          <m:t xml:space="preserve">=</m:t>
        </m:r>
        <m:f>
          <m:num>
            <m:r>
              <w:rPr>
                <w:rFonts w:ascii="Cambria Math" w:hAnsi="Cambria Math"/>
              </w:rPr>
              <m:t xml:space="preserve">1</m:t>
            </m:r>
          </m:num>
          <m:den>
            <m:r>
              <w:rPr>
                <w:rFonts w:ascii="Cambria Math" w:hAnsi="Cambria Math"/>
              </w:rPr>
              <m:t xml:space="preserve">Δ</m:t>
            </m:r>
          </m:den>
        </m:f>
      </m:oMath>
      <w:r>
        <w:rPr>
          <w:rFonts w:eastAsia="Times New Roman" w:cs="Times New Roman" w:ascii="Times New Roman" w:hAnsi="Times New Roman"/>
          <w:color w:val="000000"/>
          <w:sz w:val="24"/>
          <w:szCs w:val="24"/>
        </w:rPr>
        <w:t xml:space="preserve">. Полученное значение составляет </w:t>
      </w:r>
      <w:r>
        <w:rPr/>
      </w:r>
      <m:oMath xmlns:m="http://schemas.openxmlformats.org/officeDocument/2006/math">
        <m:r>
          <w:rPr>
            <w:rFonts w:ascii="Cambria Math" w:hAnsi="Cambria Math"/>
          </w:rPr>
          <m:t xml:space="preserve">λ</m:t>
        </m:r>
        <m:r>
          <w:rPr>
            <w:rFonts w:ascii="Cambria Math" w:hAnsi="Cambria Math"/>
          </w:rPr>
          <m:t xml:space="preserve">=</m:t>
        </m:r>
        <m:r>
          <w:rPr>
            <w:rFonts w:ascii="Cambria Math" w:hAnsi="Cambria Math"/>
          </w:rPr>
          <m:t xml:space="preserve">4</m:t>
        </m:r>
        <m:r>
          <w:rPr>
            <w:rFonts w:ascii="Cambria Math" w:hAnsi="Cambria Math"/>
          </w:rPr>
          <m:t xml:space="preserve">,51</m:t>
        </m:r>
      </m:oMath>
      <w:r>
        <w:rPr>
          <w:rFonts w:eastAsia="Times New Roman" w:cs="Times New Roman" w:ascii="Times New Roman" w:hAnsi="Times New Roman"/>
          <w:color w:val="000000"/>
          <w:sz w:val="24"/>
          <w:szCs w:val="24"/>
        </w:rPr>
        <w:t>.</w:t>
      </w:r>
    </w:p>
    <w:p>
      <w:pPr>
        <w:pStyle w:val="normal1"/>
        <w:spacing w:lineRule="auto" w:line="240" w:before="240" w:after="0"/>
        <w:ind w:firstLine="709"/>
        <w:jc w:val="both"/>
        <w:rPr>
          <w:rFonts w:ascii="Times New Roman" w:hAnsi="Times New Roman" w:eastAsia="Times New Roman" w:cs="Times New Roman"/>
          <w:b/>
          <w:i/>
          <w:i/>
          <w:sz w:val="24"/>
          <w:szCs w:val="24"/>
        </w:rPr>
      </w:pPr>
      <w:r>
        <w:rPr>
          <w:rFonts w:eastAsia="Times New Roman" w:cs="Times New Roman" w:ascii="Times New Roman" w:hAnsi="Times New Roman"/>
          <w:i/>
          <w:sz w:val="24"/>
          <w:szCs w:val="24"/>
        </w:rPr>
        <w:t>Результат.</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В таблице 4 представлены характеристики относительной ошибки, вычисленные для подвыборок размера 5 с использованием </w:t>
      </w:r>
      <w:r>
        <w:rPr/>
      </w:r>
      <m:oMath xmlns:m="http://schemas.openxmlformats.org/officeDocument/2006/math">
        <m:r>
          <w:rPr>
            <w:rFonts w:ascii="Cambria Math" w:hAnsi="Cambria Math"/>
          </w:rPr>
          <m:t xml:space="preserve">λ</m:t>
        </m:r>
        <m:r>
          <w:rPr>
            <w:rFonts w:ascii="Cambria Math" w:hAnsi="Cambria Math"/>
          </w:rPr>
          <m:t xml:space="preserve">=</m:t>
        </m:r>
        <m:r>
          <w:rPr>
            <w:rFonts w:ascii="Cambria Math" w:hAnsi="Cambria Math"/>
          </w:rPr>
          <m:t xml:space="preserve">4</m:t>
        </m:r>
        <m:r>
          <w:rPr>
            <w:rFonts w:ascii="Cambria Math" w:hAnsi="Cambria Math"/>
          </w:rPr>
          <m:t xml:space="preserve">,51</m:t>
        </m:r>
      </m:oMath>
      <w:r>
        <w:rPr>
          <w:rFonts w:eastAsia="Times New Roman" w:cs="Times New Roman" w:ascii="Times New Roman" w:hAnsi="Times New Roman"/>
          <w:color w:val="000000"/>
          <w:sz w:val="24"/>
          <w:szCs w:val="24"/>
        </w:rPr>
        <w:t xml:space="preserve">. Средние значения относительной ошибки находятся в диапазоне {-0.0071, 0.0460}, демонстрируя, что оценка RM в большинстве случаев близка к минимальному значению, полученному на полном множестве. Исключение составляет пара «ECG5000–ResNet», для которой зафиксировано максимальное среднее значение 0,046 и наибольшая дисперсия (0,0326), что указывает на нестабильность модели на данном датасете. На парах «Fish–ResNet» и «Lightning2–ResNet» средние ошибки являются отрицательными, что означает, что значение RM с предложенным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в среднем превосходит эмпирический минимум на полном множестве. Медианные значения также остаются вблизи нуля, подтверждая отсутствие систематического смещения оценок в сторону переоценки или недооценки. Стандартное отклонение не превышает 0,0353. Таким образом, можно SonyAIBORobotSurface1заключить, что предложенное значение параметра сглаживания обеспечивает устойчивое и достаточно точное приближение к нижней границе метрики воспроизводимости.</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Таблица 4 </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Характеристики относительной ошибки RM и минимального значения</w:t>
      </w:r>
    </w:p>
    <w:tbl>
      <w:tblPr>
        <w:tblStyle w:val="Table5"/>
        <w:tblW w:w="9342" w:type="dxa"/>
        <w:jc w:val="center"/>
        <w:tblInd w:w="0" w:type="dxa"/>
        <w:tblLayout w:type="fixed"/>
        <w:tblCellMar>
          <w:top w:w="40" w:type="dxa"/>
          <w:left w:w="40" w:type="dxa"/>
          <w:bottom w:w="40" w:type="dxa"/>
          <w:right w:w="40" w:type="dxa"/>
        </w:tblCellMar>
        <w:tblLook w:val="0400"/>
      </w:tblPr>
      <w:tblGrid>
        <w:gridCol w:w="2599"/>
        <w:gridCol w:w="788"/>
        <w:gridCol w:w="1190"/>
        <w:gridCol w:w="1191"/>
        <w:gridCol w:w="1191"/>
        <w:gridCol w:w="1191"/>
        <w:gridCol w:w="1191"/>
      </w:tblGrid>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78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Сеть</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mean</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std</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min</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median</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max</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0,0138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-0,0382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0,0506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0,0017</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-0,0363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0,0007</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0,0426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0,0099</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0,0299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0,0326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-0,0493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0,0512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0,1168</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0,0051</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0,0179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-0,0018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-0,0125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-0,0024</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0,0192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0,0179</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-0,0443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0,0199</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0,075</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-0,0071</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0,0353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-0,1095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-0,0073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0,1129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0,0205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0,0286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-0,0602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0,0962</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0,0031</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0,0247</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-0,0582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0,0926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-0,0151</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0,0008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0,0144</w:t>
            </w:r>
          </w:p>
        </w:tc>
      </w:tr>
      <w:tr>
        <w:trPr>
          <w:trHeight w:val="366"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0,0068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0,0091</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-0,0196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0,0229</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0,0082</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0,0083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-0,0169</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0,0076</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0,0292</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0,0038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0,0048</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-0,0103</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0,005</w:t>
            </w:r>
          </w:p>
        </w:tc>
        <w:tc>
          <w:tcPr>
            <w:tcW w:w="1191"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0,0143</w:t>
            </w:r>
          </w:p>
        </w:tc>
      </w:tr>
    </w:tbl>
    <w:p>
      <w:pPr>
        <w:pStyle w:val="normal1"/>
        <w:spacing w:lineRule="auto" w:line="240" w:before="240" w:after="16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В таблице 5 представлены наименьшее и среднее значение метрик, а также RM(4.51, 55) на полном множестве для пар «датасет–сеть». Во всех парах значение RM, занимает промежуточное положение между минимальным и средним значением, что свидетельствует о сбалансированности оценки. Разность между RM и минимальным значением варьируется от 0,0049 (Fish–ResNet) до 0,0698 (ECG5000–ResNet). При этом разность между RM и среднем значением варьируется от 0,0027 (Fish–FCN) до 0,0195 (Lightning2–ResNet1D), что значительно меньше, чем до минимального. При этом средняя разность RM и минимального значения составляет 0.0252, а среднего значения и RM – 0.0084, что говорит о том, что RM значительно ближе к среднему значению, чем к минимальному. Таким образом, предложенное значение </w:t>
      </w:r>
      <w:r>
        <w:rPr/>
      </w:r>
      <m:oMath xmlns:m="http://schemas.openxmlformats.org/officeDocument/2006/math">
        <m:r>
          <w:rPr>
            <w:rFonts w:ascii="Cambria Math" w:hAnsi="Cambria Math"/>
          </w:rPr>
          <m:t xml:space="preserve">λ</m:t>
        </m:r>
        <m:r>
          <w:rPr>
            <w:rFonts w:ascii="Cambria Math" w:hAnsi="Cambria Math"/>
          </w:rPr>
          <m:t xml:space="preserve">=</m:t>
        </m:r>
        <m:r>
          <w:rPr>
            <w:rFonts w:ascii="Cambria Math" w:hAnsi="Cambria Math"/>
          </w:rPr>
          <m:t xml:space="preserve">4</m:t>
        </m:r>
        <m:r>
          <w:rPr>
            <w:rFonts w:ascii="Cambria Math" w:hAnsi="Cambria Math"/>
          </w:rPr>
          <m:t xml:space="preserve">,51</m:t>
        </m:r>
      </m:oMath>
      <w:r>
        <w:rPr>
          <w:rFonts w:eastAsia="Times New Roman" w:cs="Times New Roman" w:ascii="Times New Roman" w:hAnsi="Times New Roman"/>
          <w:color w:val="000000"/>
          <w:sz w:val="24"/>
          <w:szCs w:val="24"/>
        </w:rPr>
        <w:t xml:space="preserve"> позволяет при малых n проводить оценку нижней границы значения метрики. При этом, при увеличении количества повторений, позволяет сохранять значение метрики, близкое к среднему.</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Таблица 5 </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Сравнение наименьшего значения выборки, метрики RM и среднего значения</w:t>
      </w:r>
    </w:p>
    <w:tbl>
      <w:tblPr>
        <w:tblStyle w:val="Table6"/>
        <w:tblW w:w="8658" w:type="dxa"/>
        <w:jc w:val="right"/>
        <w:tblInd w:w="0" w:type="dxa"/>
        <w:tblLayout w:type="fixed"/>
        <w:tblCellMar>
          <w:top w:w="40" w:type="dxa"/>
          <w:left w:w="40" w:type="dxa"/>
          <w:bottom w:w="40" w:type="dxa"/>
          <w:right w:w="40" w:type="dxa"/>
        </w:tblCellMar>
        <w:tblLook w:val="0400"/>
      </w:tblPr>
      <w:tblGrid>
        <w:gridCol w:w="2599"/>
        <w:gridCol w:w="788"/>
        <w:gridCol w:w="1756"/>
        <w:gridCol w:w="1758"/>
        <w:gridCol w:w="1757"/>
      </w:tblGrid>
      <w:tr>
        <w:trPr>
          <w:trHeight w:val="339"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Сеть</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min</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RM</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mean</w:t>
            </w:r>
          </w:p>
        </w:tc>
      </w:tr>
      <w:tr>
        <w:trPr>
          <w:trHeight w:val="13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0,7724</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0,7987</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0,8078</w:t>
            </w:r>
          </w:p>
        </w:tc>
      </w:tr>
      <w:tr>
        <w:trPr>
          <w:trHeight w:val="342"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Adiac</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0,757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0,775</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0,7826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0,8989</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0,9192</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0,924</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ECG5000</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0,7982</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0,868</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0,8838</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0,9543</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0,9658</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0,9685</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0,9714</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0,9763</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0,9793</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0,6557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0,6871</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0,6963</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0,6557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0,6929</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0,7124</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0,7123</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0,7576</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0,7718</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0,7397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0,7736</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0,7883</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0,9434</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0,9525</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0,9566</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SonyAIBORobotSurface1</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0,9567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0,9723</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0,977</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FCN</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0,9328</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0,952</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0,9575</w:t>
            </w:r>
          </w:p>
        </w:tc>
      </w:tr>
      <w:tr>
        <w:trPr>
          <w:trHeight w:val="315" w:hRule="atLeast"/>
        </w:trPr>
        <w:tc>
          <w:tcPr>
            <w:tcW w:w="2599"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SonyAIBORobotSurface2</w:t>
            </w:r>
          </w:p>
        </w:tc>
        <w:tc>
          <w:tcPr>
            <w:tcW w:w="788" w:type="dxa"/>
            <w:tcBorders>
              <w:top w:val="single" w:sz="4" w:space="0" w:color="000000"/>
              <w:left w:val="single" w:sz="4" w:space="0" w:color="000000"/>
              <w:bottom w:val="single" w:sz="4" w:space="0" w:color="000000"/>
              <w:right w:val="single" w:sz="4" w:space="0" w:color="000000"/>
            </w:tcBorders>
            <w:vAlign w:val="bottom"/>
          </w:tcPr>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ResNet</w:t>
            </w:r>
          </w:p>
        </w:tc>
        <w:tc>
          <w:tcPr>
            <w:tcW w:w="175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0,957</w:t>
            </w:r>
          </w:p>
        </w:tc>
        <w:tc>
          <w:tcPr>
            <w:tcW w:w="1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0,9669</w:t>
            </w:r>
          </w:p>
        </w:tc>
        <w:tc>
          <w:tcPr>
            <w:tcW w:w="1757"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0,9698</w:t>
            </w:r>
          </w:p>
        </w:tc>
      </w:tr>
    </w:tbl>
    <w:p>
      <w:pPr>
        <w:pStyle w:val="normal1"/>
        <w:spacing w:lineRule="auto" w:line="240" w:before="24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Таким образом, результирующая новая предлагаемая мета-метрика воспроизводимости:</w:t>
      </w:r>
    </w:p>
    <w:p>
      <w:pPr>
        <w:pStyle w:val="normal1"/>
        <w:jc w:val="center"/>
        <w:rPr>
          <w:rFonts w:ascii="Cambria Math" w:hAnsi="Cambria Math" w:eastAsia="Cambria Math" w:cs="Cambria Math"/>
        </w:rPr>
      </w:pPr>
      <w:r>
        <w:rPr/>
      </w:r>
      <m:oMathPara xmlns:m="http://schemas.openxmlformats.org/officeDocument/2006/math">
        <m:oMathParaPr>
          <m:jc m:val="center"/>
        </m:oMathParaPr>
        <m:oMath>
          <m:r>
            <w:rPr>
              <w:rFonts w:ascii="Cambria Math" w:hAnsi="Cambria Math"/>
            </w:rPr>
            <m:t xml:space="preserve">RM</m:t>
          </m:r>
          <m:d>
            <m:dPr>
              <m:begChr m:val="("/>
              <m:endChr m:val=")"/>
            </m:dPr>
            <m:e>
              <m:r>
                <w:rPr>
                  <w:rFonts w:ascii="Cambria Math" w:hAnsi="Cambria Math"/>
                </w:rPr>
                <m:t xml:space="preserve">λ</m:t>
              </m:r>
            </m:e>
          </m:d>
          <m:r>
            <w:rPr>
              <w:rFonts w:ascii="Cambria Math" w:hAnsi="Cambria Math"/>
            </w:rPr>
            <m:t xml:space="preserve">=</m:t>
          </m:r>
          <m:sSub>
            <m:e>
              <m:r>
                <w:rPr>
                  <w:rFonts w:ascii="Cambria Math" w:hAnsi="Cambria Math"/>
                </w:rPr>
                <m:t xml:space="preserve">μ</m:t>
              </m:r>
            </m:e>
            <m:sub>
              <m:r>
                <w:rPr>
                  <w:rFonts w:ascii="Cambria Math" w:hAnsi="Cambria Math"/>
                </w:rPr>
                <m:t xml:space="preserve">m</m:t>
              </m:r>
            </m:sub>
          </m:sSub>
          <m:r>
            <w:rPr>
              <w:rFonts w:ascii="Cambria Math" w:hAnsi="Cambria Math"/>
            </w:rPr>
            <m:t xml:space="preserve">−</m:t>
          </m:r>
          <m:r>
            <w:rPr>
              <w:rFonts w:ascii="Cambria Math" w:hAnsi="Cambria Math"/>
            </w:rPr>
            <m:t xml:space="preserve">4</m:t>
          </m:r>
          <m:r>
            <w:rPr>
              <w:rFonts w:ascii="Cambria Math" w:hAnsi="Cambria Math"/>
            </w:rPr>
            <m:t xml:space="preserve">,51</m:t>
          </m:r>
          <m:f>
            <m:num>
              <m:sSub>
                <m:e>
                  <m:r>
                    <w:rPr>
                      <w:rFonts w:ascii="Cambria Math" w:hAnsi="Cambria Math"/>
                    </w:rPr>
                    <m:t xml:space="preserve">σ</m:t>
                  </m:r>
                </m:e>
                <m:sub>
                  <m:r>
                    <w:rPr>
                      <w:rFonts w:ascii="Cambria Math" w:hAnsi="Cambria Math"/>
                    </w:rPr>
                    <m:t xml:space="preserve">m</m:t>
                  </m:r>
                </m:sub>
              </m:sSub>
            </m:num>
            <m:den>
              <m:rad>
                <m:radPr>
                  <m:degHide m:val="1"/>
                </m:radPr>
                <m:deg/>
                <m:e/>
              </m:rad>
            </m:den>
          </m:f>
        </m:oMath>
      </m:oMathPara>
    </w:p>
    <w:p>
      <w:pPr>
        <w:pStyle w:val="normal1"/>
        <w:spacing w:lineRule="auto" w:line="240" w:before="240" w:after="0"/>
        <w:ind w:firstLine="709"/>
        <w:jc w:val="both"/>
        <w:rPr>
          <w:rFonts w:ascii="Times New Roman" w:hAnsi="Times New Roman" w:eastAsia="Times New Roman" w:cs="Times New Roman"/>
          <w:b/>
          <w:i/>
          <w:i/>
          <w:sz w:val="24"/>
          <w:szCs w:val="24"/>
        </w:rPr>
      </w:pPr>
      <w:r>
        <w:rPr>
          <w:rFonts w:eastAsia="Times New Roman" w:cs="Times New Roman" w:ascii="Times New Roman" w:hAnsi="Times New Roman"/>
          <w:i/>
          <w:sz w:val="24"/>
          <w:szCs w:val="24"/>
        </w:rPr>
        <w:t>Валидация на DenseNet.</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Эксперименты по воспроизводимости дополнительно были проведены на тех же 7 датасетах с использованием сети DenseNet [20]</w:t>
      </w:r>
      <w:r>
        <w:rPr>
          <w:rFonts w:eastAsia="Times New Roman" w:cs="Times New Roman" w:ascii="Times New Roman" w:hAnsi="Times New Roman"/>
          <w:color w:val="222222"/>
          <w:sz w:val="24"/>
          <w:szCs w:val="24"/>
          <w:highlight w:val="white"/>
        </w:rPr>
        <w:t xml:space="preserve">. </w:t>
      </w:r>
      <w:r>
        <w:rPr>
          <w:rFonts w:eastAsia="Times New Roman" w:cs="Times New Roman" w:ascii="Times New Roman" w:hAnsi="Times New Roman"/>
          <w:color w:val="000000"/>
          <w:sz w:val="24"/>
          <w:szCs w:val="24"/>
        </w:rPr>
        <w:t>В таблице 6 представлены значения аккуратности и метрики RM для сети DenseNet с наибольшим и наименьшим стандартным отклоненнием аккуратности. Из таблицы видно, что при относительно небольшом стандартном отклонении 0,011 (датасет Fish) штраф также небольшой и среднее значение RM по 1000 подвыборок (размер 5) близко к среднему значению аккуратности. С другой стороны, на данных Lightning7 наблюдается большая нестабильность 0,033 и размер штрафа составил 0,064.</w:t>
      </w:r>
    </w:p>
    <w:p>
      <w:pPr>
        <w:pStyle w:val="normal1"/>
        <w:spacing w:lineRule="auto" w:line="360" w:before="0" w:after="0"/>
        <w:ind w:firstLine="709"/>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Таблица 6 </w:t>
      </w:r>
    </w:p>
    <w:p>
      <w:pPr>
        <w:pStyle w:val="normal1"/>
        <w:spacing w:lineRule="auto" w:line="360" w:before="0" w:after="0"/>
        <w:ind w:firstLine="709"/>
        <w:jc w:val="center"/>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Значения аккуратности и RM сети DenseNet</w:t>
      </w:r>
    </w:p>
    <w:tbl>
      <w:tblPr>
        <w:tblStyle w:val="Table7"/>
        <w:tblW w:w="9344" w:type="dxa"/>
        <w:jc w:val="left"/>
        <w:tblInd w:w="0" w:type="dxa"/>
        <w:tblLayout w:type="fixed"/>
        <w:tblCellMar>
          <w:top w:w="40" w:type="dxa"/>
          <w:left w:w="40" w:type="dxa"/>
          <w:bottom w:w="40" w:type="dxa"/>
          <w:right w:w="40" w:type="dxa"/>
        </w:tblCellMar>
        <w:tblLook w:val="0400"/>
      </w:tblPr>
      <w:tblGrid>
        <w:gridCol w:w="1146"/>
        <w:gridCol w:w="2020"/>
        <w:gridCol w:w="3384"/>
        <w:gridCol w:w="758"/>
        <w:gridCol w:w="1225"/>
        <w:gridCol w:w="810"/>
      </w:tblGrid>
      <w:tr>
        <w:trPr>
          <w:trHeight w:val="570"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Датасет</w:t>
            </w:r>
          </w:p>
        </w:tc>
        <w:tc>
          <w:tcPr>
            <w:tcW w:w="202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Средняя аккуратность</w:t>
            </w:r>
          </w:p>
        </w:tc>
        <w:tc>
          <w:tcPr>
            <w:tcW w:w="338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Стандартное отклонение аккуратности</w:t>
            </w:r>
          </w:p>
        </w:tc>
        <w:tc>
          <w:tcPr>
            <w:tcW w:w="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Размах</w:t>
            </w:r>
          </w:p>
        </w:tc>
        <w:tc>
          <w:tcPr>
            <w:tcW w:w="1225"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Среднее RM</w:t>
            </w:r>
          </w:p>
        </w:tc>
        <w:tc>
          <w:tcPr>
            <w:tcW w:w="81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Штраф</w:t>
            </w:r>
          </w:p>
        </w:tc>
      </w:tr>
      <w:tr>
        <w:trPr>
          <w:trHeight w:val="345"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Fish</w:t>
            </w:r>
          </w:p>
        </w:tc>
        <w:tc>
          <w:tcPr>
            <w:tcW w:w="202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0,969</w:t>
            </w:r>
          </w:p>
        </w:tc>
        <w:tc>
          <w:tcPr>
            <w:tcW w:w="338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0,011</w:t>
            </w:r>
          </w:p>
        </w:tc>
        <w:tc>
          <w:tcPr>
            <w:tcW w:w="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0,046</w:t>
            </w:r>
          </w:p>
        </w:tc>
        <w:tc>
          <w:tcPr>
            <w:tcW w:w="1225"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0,949</w:t>
            </w:r>
          </w:p>
        </w:tc>
        <w:tc>
          <w:tcPr>
            <w:tcW w:w="81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0,021</w:t>
            </w:r>
          </w:p>
        </w:tc>
      </w:tr>
      <w:tr>
        <w:trPr>
          <w:trHeight w:val="345"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Lightning7</w:t>
            </w:r>
          </w:p>
        </w:tc>
        <w:tc>
          <w:tcPr>
            <w:tcW w:w="202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0,701</w:t>
            </w:r>
          </w:p>
        </w:tc>
        <w:tc>
          <w:tcPr>
            <w:tcW w:w="3384"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0,033</w:t>
            </w:r>
          </w:p>
        </w:tc>
        <w:tc>
          <w:tcPr>
            <w:tcW w:w="758"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0,137</w:t>
            </w:r>
          </w:p>
        </w:tc>
        <w:tc>
          <w:tcPr>
            <w:tcW w:w="1225"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0,637</w:t>
            </w:r>
          </w:p>
        </w:tc>
        <w:tc>
          <w:tcPr>
            <w:tcW w:w="810" w:type="dxa"/>
            <w:tcBorders>
              <w:top w:val="single" w:sz="4" w:space="0" w:color="000000"/>
              <w:left w:val="single" w:sz="4" w:space="0" w:color="000000"/>
              <w:bottom w:val="single" w:sz="4" w:space="0" w:color="000000"/>
              <w:right w:val="single" w:sz="4" w:space="0" w:color="000000"/>
            </w:tcBorders>
            <w:vAlign w:val="center"/>
          </w:tcPr>
          <w:p>
            <w:pPr>
              <w:pStyle w:val="normal1"/>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0,064</w:t>
            </w:r>
          </w:p>
        </w:tc>
      </w:tr>
    </w:tbl>
    <w:p>
      <w:pPr>
        <w:pStyle w:val="normal1"/>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240" w:before="0" w:after="0"/>
        <w:ind w:firstLine="709"/>
        <w:jc w:val="both"/>
        <w:rPr>
          <w:rFonts w:ascii="Times New Roman" w:hAnsi="Times New Roman" w:eastAsia="Times New Roman" w:cs="Times New Roman"/>
          <w:b/>
          <w:sz w:val="24"/>
          <w:szCs w:val="24"/>
        </w:rPr>
      </w:pPr>
      <w:r>
        <w:rPr>
          <w:rFonts w:eastAsia="Times New Roman" w:cs="Times New Roman" w:ascii="Times New Roman" w:hAnsi="Times New Roman"/>
          <w:b/>
          <w:color w:val="000000"/>
          <w:sz w:val="24"/>
          <w:szCs w:val="24"/>
        </w:rPr>
        <w:t>Заключение</w:t>
      </w:r>
      <w:r>
        <w:rPr>
          <w:rFonts w:eastAsia="Times New Roman" w:cs="Times New Roman" w:ascii="Times New Roman" w:hAnsi="Times New Roman"/>
          <w:b/>
          <w:sz w:val="24"/>
          <w:szCs w:val="24"/>
        </w:rPr>
        <w:t xml:space="preserve">. </w:t>
      </w:r>
      <w:r>
        <w:rPr>
          <w:rFonts w:eastAsia="Times New Roman" w:cs="Times New Roman" w:ascii="Times New Roman" w:hAnsi="Times New Roman"/>
          <w:color w:val="000000"/>
          <w:sz w:val="24"/>
          <w:szCs w:val="24"/>
        </w:rPr>
        <w:t>Данное исследование подчеркивает значимость выбора случайного сида при обучении сверточных нейронных сетей, решающих задачи классификации временных рядов. Полученные результаты показывают, что варьирование состояния генератора случайных чисел может вызывать разницу в метрике качества — до 12% в отдельных случаях. Сравнение моделей, результаты которых получены на единственном запуске, могут являться некорректными. Демонстрируется необходимость систематической оценки устойчивости результатов.</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В работе демонстрируется, что распределение значений аккуратности (accuracy), полученных при множественных запусках модели, в большинстве случаев не подчиняется нормальному закону. Это делает традиционные статистические методы оценки (такие как доверительные интервалы) ненадежными. В связи с этим предложена новая мета-метрика воспроизводимости (RM), сочетающая среднее значение метрики и штраф за дисперсию, задаваемый параметром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Подбор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выполнен эмпирически на основе бутстрэппинга, что позволило обеспечить устойчивость оценки даже при малом числе запусков. Анализ показал, что RM находится между минимальным и средним значением метрики при большом количестве повторений и ближе к минимальному при малом количестве запусков.</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Таким образом, работа не только дополнительно подтверждает существование проблемы нестабильности моделей при различной инициализации, но и предлагает практически применимый способ её учета. Предложенная методика RM может стать шагом к стандартизации оценки воспроизводимости в машинном обучении, особенно в контексте сравнений между новыми архитектурами и методами.</w:t>
      </w:r>
    </w:p>
    <w:p>
      <w:pPr>
        <w:pStyle w:val="normal1"/>
        <w:spacing w:lineRule="auto" w:line="240" w:before="0" w:after="0"/>
        <w:ind w:firstLine="709"/>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В дальнейшем перспективным представляется исследование поведения RM-метрики в задачах регрессии, генерации и сегментации, а также её адаптация к случаям мультиклассовой и многозадачной классификации. Ещё одним направлением может стать автоматическая настройка </w:t>
      </w:r>
      <w:r>
        <w:rPr/>
      </w:r>
      <m:oMath xmlns:m="http://schemas.openxmlformats.org/officeDocument/2006/math">
        <m:r>
          <w:rPr>
            <w:rFonts w:ascii="Cambria Math" w:hAnsi="Cambria Math"/>
          </w:rPr>
          <m:t xml:space="preserve">λ</m:t>
        </m:r>
      </m:oMath>
      <w:r>
        <w:rPr>
          <w:rFonts w:eastAsia="Times New Roman" w:cs="Times New Roman" w:ascii="Times New Roman" w:hAnsi="Times New Roman"/>
          <w:color w:val="000000"/>
          <w:sz w:val="24"/>
          <w:szCs w:val="24"/>
        </w:rPr>
        <w:t xml:space="preserve"> на основе свойств данных или архитектуры модели.</w:t>
      </w:r>
    </w:p>
    <w:p>
      <w:pPr>
        <w:pStyle w:val="normal1"/>
        <w:spacing w:lineRule="auto" w:line="240"/>
        <w:rPr/>
      </w:pPr>
      <w:r>
        <w:rPr/>
      </w:r>
    </w:p>
    <w:p>
      <w:pPr>
        <w:pStyle w:val="normal1"/>
        <w:spacing w:lineRule="auto" w:line="240"/>
        <w:rPr/>
      </w:pPr>
      <w:r>
        <w:rPr/>
      </w:r>
    </w:p>
    <w:p>
      <w:pPr>
        <w:pStyle w:val="normal1"/>
        <w:spacing w:lineRule="auto" w:line="240"/>
        <w:rPr/>
      </w:pPr>
      <w:r>
        <w:rPr/>
      </w:r>
    </w:p>
    <w:p>
      <w:pPr>
        <w:pStyle w:val="normal1"/>
        <w:spacing w:lineRule="auto" w:line="24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БИБЛИОГРАФИЧЕСКИЙ СПИСОК</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Glorot X., Bengio Y. Understanding the difficulty of training deep feedforward neural networks //Proceedings of the thirteenth international conference on artificial intelligence and statistics. – JMLR Workshop and Conference Proceedings, 2010. – С. 249-256.</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Fellicious C., Weissgerber T., Granitzer M. Effects of random seeds on the accuracy of convolutional neural networks //International Conference on Machine Learning, Optimization, and Data Science. – Cham : Springer International Publishing, 2020. – С. 93-102.</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Krizhevsky A. et al. Learning multiple layers of features from tiny images. – 2009.</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Hu M. Y. et al. Latent state models of training dynamics //arXiv preprint arXiv:2308.09543. – 2023.</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Picard D. Torch. manual_seed (3407) is all you need: On the influence of random seeds in deep learning architectures for computer vision //arXiv preprint arXiv:2109.08203. – 2021.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Krizhevsky A. et al. Learning multiple layers of features from tiny images. – 2009.</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Deng J. et al. Imagenet: A large-scale hierarchical image database //2009 IEEE conference on computer vision and pattern recognition. – Ieee, 2009. – С. 248-255.</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Touvron H. et al. Augmenting convolutional networks with attention-based aggregation //arXiv preprint arXiv:2112.13692. – 2021.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Guo Z. et al. A grey-box attack against latent diffusion model-based image editing by posterior collapse //arXiv preprint arXiv:2408.10901. – 2024.</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Picard D. Torch. manual_seed (3407) is all you need: On the influence of random seeds in deep learning architectures for computer vision //arXiv preprint arXiv:2109.08203. – 2021.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Singhal V. et al. BANKSY unifies cell typing and tissue domain segmentation for scalable spatial omics data analysis //Nature genetics. – 2024. – Т. 56. – №. 3. – С. 431-441.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Chen S. et al. Diffusiondet: Diffusion model for object detection //Proceedings of the IEEE/CVF international conference on computer vision. – 2023. – С. 19830-19843.</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Wightman R., Touvron H., Jégou H. Resnet strikes back: An improved training procedure in timm //arXiv preprint arXiv:2110.00476. – 2021.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Åkesson J., Töger J., Heiberg E. Random effects during training: Implications for deep learning-based medical image segmentation //Computers in Biology and Medicine. – 2024. – Т. 180. – С. 108944.</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Karthik S. et al. If at first you don't succeed, try, try again: Faithful diffusion-based text-to-image generation by selection //arXiv preprint arXiv:2305.13308. – 2023.</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Touvron H. et al. Augmenting convolutional networks with attention-based aggregation //arXiv preprint arXiv:2112.13692. – 2021.</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Long J., Shelhamer E., Darrell T. Fully convolutional networks for semantic segmentation //Proceedings of the IEEE conference on computer vision and pattern recognition. – 2015. – С. 3431-3440.</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Wang Z., Yan W., Oates T. Time series classification from scratch with deep neural networks: A strong baseline //2017 International joint conference on neural networks (IJCNN). – IEEE, 2017. – С. 1578-1585.</w:t>
      </w:r>
    </w:p>
    <w:p>
      <w:pPr>
        <w:pStyle w:val="normal1"/>
        <w:keepNext w:val="false"/>
        <w:keepLines w:val="false"/>
        <w:pageBreakBefore w:val="false"/>
        <w:widowControl/>
        <w:numPr>
          <w:ilvl w:val="0"/>
          <w:numId w:val="1"/>
        </w:numPr>
        <w:pBdr/>
        <w:shd w:val="clear" w:fill="auto"/>
        <w:spacing w:lineRule="auto" w:line="240" w:before="0" w:after="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He K. et al. Deep residual learning for image recognition //Proceedings of the IEEE conference on computer vision and pattern recognition. – 2016. – С. 770-778.</w:t>
      </w:r>
    </w:p>
    <w:p>
      <w:pPr>
        <w:pStyle w:val="normal1"/>
        <w:keepNext w:val="false"/>
        <w:keepLines w:val="false"/>
        <w:pageBreakBefore w:val="false"/>
        <w:widowControl/>
        <w:numPr>
          <w:ilvl w:val="0"/>
          <w:numId w:val="1"/>
        </w:numPr>
        <w:pBdr/>
        <w:shd w:val="clear" w:fill="auto"/>
        <w:spacing w:lineRule="auto" w:line="240" w:before="0" w:after="160"/>
        <w:ind w:hanging="360" w:left="720" w:right="0"/>
        <w:jc w:val="both"/>
        <w:rPr>
          <w:rFonts w:ascii="Times New Roman" w:hAnsi="Times New Roman" w:eastAsia="Times New Roman" w:cs="Times New Roman"/>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t>Huang G. et al. Densely connected convolutional networks //Proceedings of the IEEE conference on computer vision and pattern recognition. – 2017. – С. 4700-4708.</w:t>
      </w:r>
    </w:p>
    <w:p>
      <w:pPr>
        <w:pStyle w:val="normal1"/>
        <w:spacing w:lineRule="auto" w:line="24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Доброхвалов Максим Олегович</w:t>
      </w:r>
      <w:r>
        <w:rPr>
          <w:rFonts w:eastAsia="Times New Roman" w:cs="Times New Roman" w:ascii="Times New Roman" w:hAnsi="Times New Roman"/>
          <w:sz w:val="24"/>
          <w:szCs w:val="24"/>
        </w:rPr>
        <w:t xml:space="preserve"> – Санкт-Петербургский государственный электротехнический университет «ЛЭТИ» им. В.И. Ульянова (Ленина); E-mail: night1337bot@gmail.com; Санкт-Петербург, Россия; тел.: +78122342682; кафедра математического обеспечения и применения ЭВМ; ORCID: 0000-0002-0571-5836.</w:t>
      </w:r>
    </w:p>
    <w:p>
      <w:pPr>
        <w:pStyle w:val="normal1"/>
        <w:spacing w:lineRule="auto" w:line="24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Филатов Антон Юрьевич</w:t>
      </w:r>
      <w:r>
        <w:rPr>
          <w:rFonts w:eastAsia="Times New Roman" w:cs="Times New Roman" w:ascii="Times New Roman" w:hAnsi="Times New Roman"/>
          <w:sz w:val="24"/>
          <w:szCs w:val="24"/>
        </w:rPr>
        <w:t xml:space="preserve"> – Санкт-Петербургский государственный электротехнический университет «ЛЭТИ» им. В.И. Ульянова (Ленина); E-mail: aifilatov@etu.ru; Санкт-Петербург, Россия; тел.: +78122342682; к.т.н.; доцент кафедра математического обеспечения и применения ЭВМ; ORCID: 0000-0003-4298-8523</w:t>
      </w:r>
    </w:p>
    <w:p>
      <w:pPr>
        <w:pStyle w:val="normal1"/>
        <w:spacing w:lineRule="auto" w:line="24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Чегодаева Елизавета Александровна</w:t>
      </w:r>
      <w:r>
        <w:rPr>
          <w:rFonts w:eastAsia="Times New Roman" w:cs="Times New Roman" w:ascii="Times New Roman" w:hAnsi="Times New Roman"/>
          <w:sz w:val="24"/>
          <w:szCs w:val="24"/>
        </w:rPr>
        <w:t xml:space="preserve"> – Санкт-Петербургский государственный электротехнический университет «ЛЭТИ» им. В.И. Ульянова (Ленина); E-mail: elizaveta.cheg@gmail.com; Санкт-Петербург, Россия; тел.: +78122342682; магистрант кафедры математического обеспечения и применения ЭВМ; ORCID: 0009-0005-9968-3108</w:t>
      </w:r>
    </w:p>
    <w:p>
      <w:pPr>
        <w:pStyle w:val="normal1"/>
        <w:spacing w:lineRule="auto" w:line="24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Dobrokhvalov Maksim Olegovich</w:t>
      </w:r>
      <w:r>
        <w:rPr>
          <w:rFonts w:eastAsia="Times New Roman" w:cs="Times New Roman" w:ascii="Times New Roman" w:hAnsi="Times New Roman"/>
          <w:sz w:val="24"/>
          <w:szCs w:val="24"/>
        </w:rPr>
        <w:t xml:space="preserve"> – Saint Petersburg Electrotechnical University "LETI"; E-mail: night1337bot@gmail.com; Saint Petersburg, Russia; tel.: +78122342682; Department of Software Engineering and Computer Applications; ORCID: 0000-0002-0571-5836.</w:t>
      </w:r>
    </w:p>
    <w:p>
      <w:pPr>
        <w:pStyle w:val="normal1"/>
        <w:spacing w:lineRule="auto" w:line="24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Filatov Anton Yuryevich</w:t>
      </w:r>
      <w:r>
        <w:rPr>
          <w:rFonts w:eastAsia="Times New Roman" w:cs="Times New Roman" w:ascii="Times New Roman" w:hAnsi="Times New Roman"/>
          <w:sz w:val="24"/>
          <w:szCs w:val="24"/>
        </w:rPr>
        <w:t xml:space="preserve"> – Saint Petersburg Electrotechnical University "LETI"; E-mail: aifilatov@etu.ru; Saint Petersburg, Russia; tel.: +78122342682; PhD; Associate Professor Department of Software Engineering and Computer Applications; ORCID: 0000-0003-4298-8523</w:t>
      </w:r>
    </w:p>
    <w:p>
      <w:pPr>
        <w:pStyle w:val="normal1"/>
        <w:spacing w:lineRule="auto" w:line="240" w:before="0" w:after="160"/>
        <w:ind w:hanging="0" w:left="360"/>
        <w:jc w:val="both"/>
        <w:rPr>
          <w:rFonts w:ascii="Times New Roman" w:hAnsi="Times New Roman" w:eastAsia="Times New Roman" w:cs="Times New Roman"/>
          <w:sz w:val="24"/>
          <w:szCs w:val="24"/>
        </w:rPr>
      </w:pPr>
      <w:r>
        <w:rPr>
          <w:rFonts w:eastAsia="Times New Roman" w:cs="Times New Roman" w:ascii="Times New Roman" w:hAnsi="Times New Roman"/>
          <w:b/>
          <w:sz w:val="24"/>
          <w:szCs w:val="24"/>
        </w:rPr>
        <w:t>Chegodaeva Elizaveta Aleksandrovna</w:t>
      </w:r>
      <w:r>
        <w:rPr>
          <w:rFonts w:eastAsia="Times New Roman" w:cs="Times New Roman" w:ascii="Times New Roman" w:hAnsi="Times New Roman"/>
          <w:sz w:val="24"/>
          <w:szCs w:val="24"/>
        </w:rPr>
        <w:t xml:space="preserve"> – Saint Petersburg Electrotechnical University "LETI"; E-mail: elizaveta.cheg@gmail.com; Saint Petersburg, Russia; tel.: +78122342682; Master's student of the Department of Software Engineering and Application of Computers; ORCID: 0009-0005-9968-3108</w:t>
      </w:r>
    </w:p>
    <w:sectPr>
      <w:footnotePr>
        <w:numFmt w:val="decimal"/>
      </w:footnotePr>
      <w:type w:val="nextPage"/>
      <w:pgSz w:w="11906" w:h="16838"/>
      <w:pgMar w:left="1701" w:right="850" w:gutter="0" w:header="0" w:top="1134" w:footer="0" w:bottom="1134"/>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Cambria Math">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p>
  </w:footnote>
  <w:footnote w:id="1" w:type="continuationSeparator">
    <w:p>
      <w:pPr>
        <w:rPr>
          <w:sz w:val="12"/>
        </w:rPr>
      </w:pPr>
      <w:r/>
    </w:p>
  </w:footnote>
  <w:footnote w:id="2">
    <w:p>
      <w:pPr>
        <w:pStyle w:val="normal1"/>
        <w:keepNext w:val="false"/>
        <w:keepLines w:val="false"/>
        <w:pageBreakBefore w:val="false"/>
        <w:widowControl/>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0"/>
          <w:sz w:val="20"/>
          <w:szCs w:val="20"/>
          <w:u w:val="none"/>
          <w:shd w:fill="auto" w:val="clear"/>
          <w:vertAlign w:val="baseline"/>
        </w:rPr>
      </w:pPr>
      <w:r>
        <w:rPr>
          <w:rStyle w:val="Style8"/>
        </w:rPr>
        <w:footnoteRef/>
      </w:r>
      <w:r>
        <w:rPr>
          <w:rFonts w:eastAsia="Calibri" w:cs="Calibri"/>
          <w:b w:val="false"/>
          <w:i w:val="false"/>
          <w:caps w:val="false"/>
          <w:smallCaps w:val="false"/>
          <w:strike w:val="false"/>
          <w:dstrike w:val="false"/>
          <w:color w:val="000000"/>
          <w:position w:val="0"/>
          <w:sz w:val="20"/>
          <w:sz w:val="20"/>
          <w:szCs w:val="20"/>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0"/>
          <w:sz w:val="20"/>
          <w:szCs w:val="20"/>
          <w:u w:val="none"/>
          <w:shd w:fill="auto" w:val="clear"/>
          <w:vertAlign w:val="baseline"/>
        </w:rPr>
        <w:t>https://numpy.org/doc/stable/</w:t>
      </w:r>
    </w:p>
  </w:footnote>
  <w:footnote w:id="3">
    <w:p>
      <w:pPr>
        <w:pStyle w:val="normal1"/>
        <w:keepNext w:val="false"/>
        <w:keepLines w:val="false"/>
        <w:pageBreakBefore w:val="false"/>
        <w:widowControl/>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0"/>
          <w:sz w:val="20"/>
          <w:szCs w:val="20"/>
          <w:u w:val="none"/>
          <w:shd w:fill="auto" w:val="clear"/>
          <w:vertAlign w:val="baseline"/>
        </w:rPr>
      </w:pPr>
      <w:r>
        <w:rPr>
          <w:rStyle w:val="Style8"/>
        </w:rPr>
        <w:footnoteRef/>
      </w:r>
      <w:r>
        <w:rPr>
          <w:rFonts w:eastAsia="Calibri" w:cs="Calibri"/>
          <w:b w:val="false"/>
          <w:i w:val="false"/>
          <w:caps w:val="false"/>
          <w:smallCaps w:val="false"/>
          <w:strike w:val="false"/>
          <w:dstrike w:val="false"/>
          <w:color w:val="000000"/>
          <w:position w:val="0"/>
          <w:sz w:val="20"/>
          <w:sz w:val="20"/>
          <w:szCs w:val="20"/>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0"/>
          <w:sz w:val="20"/>
          <w:szCs w:val="20"/>
          <w:u w:val="none"/>
          <w:shd w:fill="auto" w:val="clear"/>
          <w:vertAlign w:val="baseline"/>
        </w:rPr>
        <w:t>https://www.timeseriesclassification.com/dataset.php</w:t>
      </w:r>
    </w:p>
  </w:footnote>
  <w:footnote w:id="4">
    <w:p>
      <w:pPr>
        <w:pStyle w:val="normal1"/>
        <w:keepNext w:val="false"/>
        <w:keepLines w:val="false"/>
        <w:pageBreakBefore w:val="false"/>
        <w:widowControl/>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0"/>
          <w:sz w:val="20"/>
          <w:szCs w:val="20"/>
          <w:u w:val="none"/>
          <w:shd w:fill="auto" w:val="clear"/>
          <w:vertAlign w:val="baseline"/>
        </w:rPr>
      </w:pPr>
      <w:r>
        <w:rPr>
          <w:rStyle w:val="Style8"/>
        </w:rPr>
        <w:footnoteRef/>
      </w:r>
      <w:r>
        <w:rPr>
          <w:rFonts w:eastAsia="Calibri" w:cs="Calibri"/>
          <w:b w:val="false"/>
          <w:i w:val="false"/>
          <w:caps w:val="false"/>
          <w:smallCaps w:val="false"/>
          <w:strike w:val="false"/>
          <w:dstrike w:val="false"/>
          <w:color w:val="000000"/>
          <w:position w:val="0"/>
          <w:sz w:val="20"/>
          <w:sz w:val="20"/>
          <w:szCs w:val="20"/>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0"/>
          <w:sz w:val="20"/>
          <w:szCs w:val="20"/>
          <w:u w:val="none"/>
          <w:shd w:fill="auto" w:val="clear"/>
          <w:vertAlign w:val="baseline"/>
        </w:rPr>
        <w:t>https://docs.pytorch.org/docs/stable/index.html</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ru-RU" w:eastAsia="zh-CN" w:bidi="hi-IN"/>
      </w:rPr>
    </w:rPrDefault>
    <w:pPrDefault>
      <w:pPr>
        <w:suppressAutoHyphens w:val="true"/>
      </w:pPr>
    </w:pPrDefault>
  </w:docDefaults>
  <w:style w:type="paragraph" w:styleId="Normal">
    <w:name w:val="Normal"/>
    <w:qFormat/>
    <w:pPr>
      <w:widowControl/>
      <w:bidi w:val="0"/>
      <w:spacing w:lineRule="auto" w:line="259" w:before="0" w:after="160"/>
      <w:jc w:val="left"/>
    </w:pPr>
    <w:rPr>
      <w:rFonts w:ascii="Calibri" w:hAnsi="Calibri" w:eastAsia="Calibri" w:cs="Calibri"/>
      <w:color w:val="auto"/>
      <w:kern w:val="0"/>
      <w:sz w:val="22"/>
      <w:szCs w:val="22"/>
      <w:lang w:val="ru-RU" w:eastAsia="zh-CN" w:bidi="hi-IN"/>
    </w:rPr>
  </w:style>
  <w:style w:type="paragraph" w:styleId="Heading1">
    <w:name w:val="Heading 1"/>
    <w:basedOn w:val="normal1"/>
    <w:next w:val="normal1"/>
    <w:qFormat/>
    <w:pPr>
      <w:spacing w:lineRule="auto" w:line="240"/>
    </w:pPr>
    <w:rPr>
      <w:rFonts w:ascii="Times New Roman" w:hAnsi="Times New Roman" w:eastAsia="Times New Roman" w:cs="Times New Roman"/>
      <w:b/>
      <w:sz w:val="48"/>
      <w:szCs w:val="48"/>
    </w:rPr>
  </w:style>
  <w:style w:type="paragraph" w:styleId="Heading2">
    <w:name w:val="Heading 2"/>
    <w:basedOn w:val="normal1"/>
    <w:next w:val="normal1"/>
    <w:qFormat/>
    <w:pPr>
      <w:spacing w:lineRule="auto" w:line="240"/>
    </w:pPr>
    <w:rPr>
      <w:rFonts w:ascii="Times New Roman" w:hAnsi="Times New Roman" w:eastAsia="Times New Roman" w:cs="Times New Roman"/>
      <w:b/>
      <w:sz w:val="36"/>
      <w:szCs w:val="36"/>
    </w:rPr>
  </w:style>
  <w:style w:type="paragraph" w:styleId="Heading3">
    <w:name w:val="Heading 3"/>
    <w:basedOn w:val="normal1"/>
    <w:next w:val="normal1"/>
    <w:qFormat/>
    <w:pPr>
      <w:spacing w:lineRule="auto" w:line="240"/>
    </w:pPr>
    <w:rPr>
      <w:rFonts w:ascii="Times New Roman" w:hAnsi="Times New Roman" w:eastAsia="Times New Roman" w:cs="Times New Roman"/>
      <w:b/>
      <w:sz w:val="27"/>
      <w:szCs w:val="27"/>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character" w:styleId="Style8">
    <w:name w:val="Символ сноски"/>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Style9">
    <w:name w:val="Символ концевой сноски"/>
    <w:qFormat/>
    <w:rPr/>
  </w:style>
  <w:style w:type="paragraph" w:styleId="Style10">
    <w:name w:val="Заголовок"/>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Style11">
    <w:name w:val="Указатель"/>
    <w:basedOn w:val="Normal"/>
    <w:qFormat/>
    <w:pPr>
      <w:suppressLineNumbers/>
    </w:pPr>
    <w:rPr>
      <w:rFonts w:cs="Noto Sans Devanagari"/>
    </w:rPr>
  </w:style>
  <w:style w:type="paragraph" w:styleId="normal1" w:default="1">
    <w:name w:val="normal1"/>
    <w:qFormat/>
    <w:pPr>
      <w:widowControl/>
      <w:bidi w:val="0"/>
      <w:spacing w:lineRule="auto" w:line="259" w:before="0" w:after="160"/>
      <w:jc w:val="left"/>
    </w:pPr>
    <w:rPr>
      <w:rFonts w:ascii="Calibri" w:hAnsi="Calibri" w:eastAsia="Calibri" w:cs="Calibri"/>
      <w:color w:val="auto"/>
      <w:kern w:val="0"/>
      <w:sz w:val="22"/>
      <w:szCs w:val="22"/>
      <w:lang w:val="ru-RU"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rPr>
      <w:color w:val="5A5A5A"/>
    </w:rPr>
  </w:style>
  <w:style w:type="paragraph" w:styleId="FootnoteText">
    <w:name w:val="Footnote Text"/>
    <w:basedOn w:val="Normal"/>
    <w:pPr/>
    <w:rPr/>
  </w:style>
  <w:style w:type="table" w:default="1" w:styleId="TableNormal">
    <w:name w:val="TableNormal"/>
    <w:tblPr>
      <w:tblCellMar>
        <w:top w:w="100" w:type="dxa"/>
        <w:left w:w="100" w:type="dxa"/>
        <w:bottom w:w="10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LibreOffice/24.2.7.2$Linux_X86_64 LibreOffice_project/420$Build-2</Application>
  <AppVersion>15.0000</AppVersion>
  <Pages>10</Pages>
  <Words>4035</Words>
  <Characters>28399</Characters>
  <CharactersWithSpaces>31911</CharactersWithSpaces>
  <Paragraphs>568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